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7CE3" w14:textId="77777777" w:rsidR="00D252BE" w:rsidRDefault="00000000">
      <w:pPr>
        <w:pStyle w:val="BodyText"/>
        <w:ind w:left="2147"/>
        <w:rPr>
          <w:rFonts w:ascii="Times New Roman"/>
          <w:sz w:val="20"/>
        </w:rPr>
      </w:pPr>
      <w:r>
        <w:rPr>
          <w:rFonts w:ascii="Times New Roman"/>
          <w:noProof/>
          <w:sz w:val="20"/>
        </w:rPr>
        <w:drawing>
          <wp:inline distT="0" distB="0" distL="0" distR="0" wp14:anchorId="6BE0497F" wp14:editId="16707EA8">
            <wp:extent cx="3271573" cy="79209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3271573" cy="792099"/>
                    </a:xfrm>
                    <a:prstGeom prst="rect">
                      <a:avLst/>
                    </a:prstGeom>
                  </pic:spPr>
                </pic:pic>
              </a:graphicData>
            </a:graphic>
          </wp:inline>
        </w:drawing>
      </w:r>
    </w:p>
    <w:p w14:paraId="2B91ED74" w14:textId="77777777" w:rsidR="00D252BE" w:rsidRDefault="00D252BE">
      <w:pPr>
        <w:pStyle w:val="BodyText"/>
        <w:spacing w:before="10"/>
        <w:rPr>
          <w:rFonts w:ascii="Times New Roman"/>
          <w:sz w:val="16"/>
        </w:rPr>
      </w:pPr>
    </w:p>
    <w:p w14:paraId="184F3E94" w14:textId="77777777" w:rsidR="00D252BE" w:rsidRDefault="00000000">
      <w:pPr>
        <w:pStyle w:val="Title"/>
      </w:pPr>
      <w:r>
        <w:rPr>
          <w:w w:val="105"/>
        </w:rPr>
        <w:t>KSU</w:t>
      </w:r>
      <w:r>
        <w:rPr>
          <w:spacing w:val="17"/>
          <w:w w:val="105"/>
        </w:rPr>
        <w:t xml:space="preserve"> </w:t>
      </w:r>
      <w:r>
        <w:rPr>
          <w:w w:val="105"/>
        </w:rPr>
        <w:t>Accompanying</w:t>
      </w:r>
      <w:r>
        <w:rPr>
          <w:spacing w:val="18"/>
          <w:w w:val="105"/>
        </w:rPr>
        <w:t xml:space="preserve"> </w:t>
      </w:r>
      <w:r>
        <w:rPr>
          <w:w w:val="105"/>
        </w:rPr>
        <w:t>Area</w:t>
      </w:r>
      <w:r>
        <w:rPr>
          <w:spacing w:val="18"/>
          <w:w w:val="105"/>
        </w:rPr>
        <w:t xml:space="preserve"> </w:t>
      </w:r>
      <w:r>
        <w:rPr>
          <w:spacing w:val="-2"/>
          <w:w w:val="105"/>
        </w:rPr>
        <w:t>Policies</w:t>
      </w:r>
    </w:p>
    <w:p w14:paraId="33207986" w14:textId="77777777" w:rsidR="00D252BE" w:rsidRDefault="00D252BE">
      <w:pPr>
        <w:pStyle w:val="BodyText"/>
        <w:spacing w:before="5"/>
        <w:rPr>
          <w:sz w:val="27"/>
        </w:rPr>
      </w:pPr>
    </w:p>
    <w:p w14:paraId="7FE2E7A3" w14:textId="77777777" w:rsidR="00D252BE" w:rsidRDefault="00000000">
      <w:pPr>
        <w:pStyle w:val="BodyText"/>
        <w:spacing w:before="1" w:line="264" w:lineRule="auto"/>
        <w:ind w:left="119" w:right="111"/>
      </w:pPr>
      <w:r>
        <w:rPr>
          <w:color w:val="212121"/>
        </w:rPr>
        <w:t>Students may request a collaborative pianist in semesters in which they are performing degree recitals, juries, symposiums, concerto competitions, and/or other performances. Voice students may also request a collaborative pianist for applied lessons (please consult your applied instructor for details). The coordinator of collaborative piano, Dr. Eric Jenkins, will</w:t>
      </w:r>
      <w:r>
        <w:rPr>
          <w:color w:val="212121"/>
          <w:spacing w:val="-3"/>
        </w:rPr>
        <w:t xml:space="preserve"> </w:t>
      </w:r>
      <w:r>
        <w:rPr>
          <w:color w:val="212121"/>
        </w:rPr>
        <w:t>help</w:t>
      </w:r>
      <w:r>
        <w:rPr>
          <w:color w:val="212121"/>
          <w:spacing w:val="-3"/>
        </w:rPr>
        <w:t xml:space="preserve"> </w:t>
      </w:r>
      <w:r>
        <w:rPr>
          <w:color w:val="212121"/>
        </w:rPr>
        <w:t>determine</w:t>
      </w:r>
      <w:r>
        <w:rPr>
          <w:color w:val="212121"/>
          <w:spacing w:val="-3"/>
        </w:rPr>
        <w:t xml:space="preserve"> </w:t>
      </w:r>
      <w:r>
        <w:rPr>
          <w:color w:val="212121"/>
        </w:rPr>
        <w:t>the</w:t>
      </w:r>
      <w:r>
        <w:rPr>
          <w:color w:val="212121"/>
          <w:spacing w:val="-3"/>
        </w:rPr>
        <w:t xml:space="preserve"> </w:t>
      </w:r>
      <w:r>
        <w:rPr>
          <w:color w:val="212121"/>
        </w:rPr>
        <w:t>amount</w:t>
      </w:r>
      <w:r>
        <w:rPr>
          <w:color w:val="212121"/>
          <w:spacing w:val="-3"/>
        </w:rPr>
        <w:t xml:space="preserve"> </w:t>
      </w:r>
      <w:r>
        <w:rPr>
          <w:color w:val="212121"/>
        </w:rPr>
        <w:t>of</w:t>
      </w:r>
      <w:r>
        <w:rPr>
          <w:color w:val="212121"/>
          <w:spacing w:val="-3"/>
        </w:rPr>
        <w:t xml:space="preserve"> </w:t>
      </w:r>
      <w:r>
        <w:rPr>
          <w:color w:val="212121"/>
        </w:rPr>
        <w:t>available</w:t>
      </w:r>
      <w:r>
        <w:rPr>
          <w:color w:val="212121"/>
          <w:spacing w:val="-3"/>
        </w:rPr>
        <w:t xml:space="preserve"> </w:t>
      </w:r>
      <w:r>
        <w:rPr>
          <w:color w:val="212121"/>
        </w:rPr>
        <w:t>per</w:t>
      </w:r>
      <w:r>
        <w:rPr>
          <w:color w:val="212121"/>
          <w:spacing w:val="-3"/>
        </w:rPr>
        <w:t xml:space="preserve"> </w:t>
      </w:r>
      <w:r>
        <w:rPr>
          <w:color w:val="212121"/>
        </w:rPr>
        <w:t>student,</w:t>
      </w:r>
      <w:r>
        <w:rPr>
          <w:color w:val="212121"/>
          <w:spacing w:val="-3"/>
        </w:rPr>
        <w:t xml:space="preserve"> </w:t>
      </w:r>
      <w:r>
        <w:rPr>
          <w:color w:val="212121"/>
        </w:rPr>
        <w:t>depending</w:t>
      </w:r>
      <w:r>
        <w:rPr>
          <w:color w:val="212121"/>
          <w:spacing w:val="-3"/>
        </w:rPr>
        <w:t xml:space="preserve"> </w:t>
      </w:r>
      <w:r>
        <w:rPr>
          <w:color w:val="212121"/>
        </w:rPr>
        <w:t>on</w:t>
      </w:r>
      <w:r>
        <w:rPr>
          <w:color w:val="212121"/>
          <w:spacing w:val="-3"/>
        </w:rPr>
        <w:t xml:space="preserve"> </w:t>
      </w:r>
      <w:r>
        <w:rPr>
          <w:color w:val="212121"/>
        </w:rPr>
        <w:t>the</w:t>
      </w:r>
      <w:r>
        <w:rPr>
          <w:color w:val="212121"/>
          <w:spacing w:val="-3"/>
        </w:rPr>
        <w:t xml:space="preserve"> </w:t>
      </w:r>
      <w:r>
        <w:rPr>
          <w:color w:val="212121"/>
        </w:rPr>
        <w:t>situation</w:t>
      </w:r>
      <w:r>
        <w:rPr>
          <w:color w:val="212121"/>
          <w:spacing w:val="-3"/>
        </w:rPr>
        <w:t xml:space="preserve"> </w:t>
      </w:r>
      <w:r>
        <w:rPr>
          <w:color w:val="212121"/>
        </w:rPr>
        <w:t>(degree recital, symposium, jury, lessons, etc.) and make all assignments for accompanists.</w:t>
      </w:r>
    </w:p>
    <w:p w14:paraId="3EDD4FE0" w14:textId="77777777" w:rsidR="00D252BE" w:rsidRDefault="00D252BE">
      <w:pPr>
        <w:pStyle w:val="BodyText"/>
        <w:spacing w:before="2"/>
        <w:rPr>
          <w:sz w:val="35"/>
        </w:rPr>
      </w:pPr>
    </w:p>
    <w:p w14:paraId="4B4E215C" w14:textId="53A53BE8" w:rsidR="00D252BE" w:rsidRDefault="00000000">
      <w:pPr>
        <w:pStyle w:val="BodyText"/>
        <w:spacing w:line="264" w:lineRule="auto"/>
        <w:ind w:left="119" w:right="111"/>
      </w:pPr>
      <w:r>
        <w:t>Students</w:t>
      </w:r>
      <w:r>
        <w:rPr>
          <w:spacing w:val="-7"/>
        </w:rPr>
        <w:t xml:space="preserve"> </w:t>
      </w:r>
      <w:r>
        <w:t>are</w:t>
      </w:r>
      <w:r>
        <w:rPr>
          <w:spacing w:val="-8"/>
        </w:rPr>
        <w:t xml:space="preserve"> </w:t>
      </w:r>
      <w:r>
        <w:t>required</w:t>
      </w:r>
      <w:r>
        <w:rPr>
          <w:spacing w:val="-7"/>
        </w:rPr>
        <w:t xml:space="preserve"> </w:t>
      </w:r>
      <w:r>
        <w:t>to</w:t>
      </w:r>
      <w:r>
        <w:rPr>
          <w:spacing w:val="-7"/>
        </w:rPr>
        <w:t xml:space="preserve"> </w:t>
      </w:r>
      <w:r>
        <w:t>submit</w:t>
      </w:r>
      <w:r>
        <w:rPr>
          <w:spacing w:val="-7"/>
        </w:rPr>
        <w:t xml:space="preserve"> </w:t>
      </w:r>
      <w:r>
        <w:t>all</w:t>
      </w:r>
      <w:r>
        <w:rPr>
          <w:spacing w:val="-7"/>
        </w:rPr>
        <w:t xml:space="preserve"> </w:t>
      </w:r>
      <w:r>
        <w:t>accompanying</w:t>
      </w:r>
      <w:r>
        <w:rPr>
          <w:spacing w:val="-7"/>
        </w:rPr>
        <w:t xml:space="preserve"> </w:t>
      </w:r>
      <w:r>
        <w:t>requests</w:t>
      </w:r>
      <w:r>
        <w:rPr>
          <w:spacing w:val="-7"/>
        </w:rPr>
        <w:t xml:space="preserve"> </w:t>
      </w:r>
      <w:r>
        <w:t>via</w:t>
      </w:r>
      <w:r>
        <w:rPr>
          <w:spacing w:val="-8"/>
        </w:rPr>
        <w:t xml:space="preserve"> </w:t>
      </w:r>
      <w:r>
        <w:t>the</w:t>
      </w:r>
      <w:r>
        <w:rPr>
          <w:spacing w:val="-8"/>
        </w:rPr>
        <w:t xml:space="preserve"> </w:t>
      </w:r>
      <w:hyperlink r:id="rId5" w:history="1">
        <w:r w:rsidRPr="0049720E">
          <w:rPr>
            <w:rStyle w:val="Hyperlink"/>
            <w:color w:val="0563C1"/>
          </w:rPr>
          <w:t>new</w:t>
        </w:r>
        <w:r w:rsidRPr="0049720E">
          <w:rPr>
            <w:rStyle w:val="Hyperlink"/>
            <w:color w:val="0563C1"/>
            <w:spacing w:val="-7"/>
          </w:rPr>
          <w:t xml:space="preserve"> </w:t>
        </w:r>
        <w:r w:rsidRPr="0049720E">
          <w:rPr>
            <w:rStyle w:val="Hyperlink"/>
            <w:color w:val="0563C1"/>
          </w:rPr>
          <w:t>online</w:t>
        </w:r>
        <w:r w:rsidRPr="0049720E">
          <w:rPr>
            <w:rStyle w:val="Hyperlink"/>
            <w:color w:val="0563C1"/>
            <w:spacing w:val="-8"/>
          </w:rPr>
          <w:t xml:space="preserve"> </w:t>
        </w:r>
        <w:r w:rsidRPr="0049720E">
          <w:rPr>
            <w:rStyle w:val="Hyperlink"/>
            <w:color w:val="0563C1"/>
          </w:rPr>
          <w:t>webform</w:t>
        </w:r>
      </w:hyperlink>
      <w:r>
        <w:t xml:space="preserve">: </w:t>
      </w:r>
      <w:r w:rsidR="0049720E" w:rsidRPr="0049720E">
        <w:rPr>
          <w:color w:val="0563C1"/>
          <w:spacing w:val="-2"/>
          <w:u w:val="single" w:color="0563C1"/>
        </w:rPr>
        <w:t>https://forms.office.com/pages/responsepage.aspx?id=5W7yRTTxnkO8k-bH4z1hwn0pKhIiwPpMi19sl_JJTr5UN0FNUVBOUTdKQUNESktBWlVSVVMzMVNVTS4u</w:t>
      </w:r>
    </w:p>
    <w:p w14:paraId="0F62B039" w14:textId="77777777" w:rsidR="00D252BE" w:rsidRDefault="00D252BE">
      <w:pPr>
        <w:pStyle w:val="BodyText"/>
        <w:spacing w:before="10"/>
        <w:rPr>
          <w:sz w:val="15"/>
        </w:rPr>
      </w:pPr>
    </w:p>
    <w:p w14:paraId="580F4077" w14:textId="77777777" w:rsidR="00D252BE" w:rsidRDefault="00000000">
      <w:pPr>
        <w:pStyle w:val="BodyText"/>
        <w:spacing w:before="101" w:line="261" w:lineRule="auto"/>
        <w:ind w:left="119" w:right="111"/>
      </w:pPr>
      <w:r>
        <w:rPr>
          <w:noProof/>
        </w:rPr>
        <mc:AlternateContent>
          <mc:Choice Requires="wps">
            <w:drawing>
              <wp:anchor distT="0" distB="0" distL="0" distR="0" simplePos="0" relativeHeight="15728640" behindDoc="0" locked="0" layoutInCell="1" allowOverlap="1" wp14:anchorId="74B7ADB2" wp14:editId="458F8E7C">
                <wp:simplePos x="0" y="0"/>
                <wp:positionH relativeFrom="page">
                  <wp:posOffset>5026152</wp:posOffset>
                </wp:positionH>
                <wp:positionV relativeFrom="paragraph">
                  <wp:posOffset>414147</wp:posOffset>
                </wp:positionV>
                <wp:extent cx="368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5.76001pt;margin-top:32.610016pt;width:2.88pt;height:.48pt;mso-position-horizontal-relative:page;mso-position-vertical-relative:paragraph;z-index:15728640" id="docshape1" filled="true" fillcolor="#000000" stroked="false">
                <v:fill type="solid"/>
                <w10:wrap type="none"/>
              </v:rect>
            </w:pict>
          </mc:Fallback>
        </mc:AlternateContent>
      </w:r>
      <w:r>
        <w:t>Any</w:t>
      </w:r>
      <w:r>
        <w:rPr>
          <w:spacing w:val="-8"/>
        </w:rPr>
        <w:t xml:space="preserve"> </w:t>
      </w:r>
      <w:r>
        <w:t>further</w:t>
      </w:r>
      <w:r>
        <w:rPr>
          <w:spacing w:val="-8"/>
        </w:rPr>
        <w:t xml:space="preserve"> </w:t>
      </w:r>
      <w:r>
        <w:t>inquiries</w:t>
      </w:r>
      <w:r>
        <w:rPr>
          <w:spacing w:val="-8"/>
        </w:rPr>
        <w:t xml:space="preserve"> </w:t>
      </w:r>
      <w:r>
        <w:t>and</w:t>
      </w:r>
      <w:r>
        <w:rPr>
          <w:spacing w:val="-8"/>
        </w:rPr>
        <w:t xml:space="preserve"> </w:t>
      </w:r>
      <w:r>
        <w:t>concerns</w:t>
      </w:r>
      <w:r>
        <w:rPr>
          <w:spacing w:val="-8"/>
        </w:rPr>
        <w:t xml:space="preserve"> </w:t>
      </w:r>
      <w:r>
        <w:t>can</w:t>
      </w:r>
      <w:r>
        <w:rPr>
          <w:spacing w:val="-8"/>
        </w:rPr>
        <w:t xml:space="preserve"> </w:t>
      </w:r>
      <w:r>
        <w:t>be</w:t>
      </w:r>
      <w:r>
        <w:rPr>
          <w:spacing w:val="-9"/>
        </w:rPr>
        <w:t xml:space="preserve"> </w:t>
      </w:r>
      <w:r>
        <w:t>directed</w:t>
      </w:r>
      <w:r>
        <w:rPr>
          <w:spacing w:val="-8"/>
        </w:rPr>
        <w:t xml:space="preserve"> </w:t>
      </w:r>
      <w:r>
        <w:t>to</w:t>
      </w:r>
      <w:r>
        <w:rPr>
          <w:spacing w:val="-8"/>
        </w:rPr>
        <w:t xml:space="preserve"> </w:t>
      </w:r>
      <w:r>
        <w:t>the</w:t>
      </w:r>
      <w:r>
        <w:rPr>
          <w:spacing w:val="-9"/>
        </w:rPr>
        <w:t xml:space="preserve"> </w:t>
      </w:r>
      <w:r>
        <w:t>accompanying</w:t>
      </w:r>
      <w:r>
        <w:rPr>
          <w:spacing w:val="-8"/>
        </w:rPr>
        <w:t xml:space="preserve"> </w:t>
      </w:r>
      <w:r>
        <w:t>coordinator,</w:t>
      </w:r>
      <w:r>
        <w:rPr>
          <w:spacing w:val="-8"/>
        </w:rPr>
        <w:t xml:space="preserve"> </w:t>
      </w:r>
      <w:r>
        <w:t>Eric Jenkins, at the following email address: (</w:t>
      </w:r>
      <w:r>
        <w:rPr>
          <w:color w:val="0563C1"/>
          <w:u w:val="single" w:color="0563C1"/>
        </w:rPr>
        <w:t>ejenki39@kennesaw.edu</w:t>
      </w:r>
      <w:r>
        <w:t>)</w:t>
      </w:r>
    </w:p>
    <w:p w14:paraId="5C28F330" w14:textId="77777777" w:rsidR="00D252BE" w:rsidRDefault="00D252BE">
      <w:pPr>
        <w:pStyle w:val="BodyText"/>
        <w:spacing w:before="2"/>
        <w:rPr>
          <w:sz w:val="16"/>
        </w:rPr>
      </w:pPr>
    </w:p>
    <w:p w14:paraId="2A06701A" w14:textId="77777777" w:rsidR="00D252BE" w:rsidRDefault="00000000">
      <w:pPr>
        <w:pStyle w:val="BodyText"/>
        <w:spacing w:before="101" w:line="264" w:lineRule="auto"/>
        <w:ind w:left="119" w:right="111"/>
      </w:pPr>
      <w:r>
        <w:t>Students must provide the collaborative pianist with the music a minimum of three weeks prior</w:t>
      </w:r>
      <w:r>
        <w:rPr>
          <w:spacing w:val="-3"/>
        </w:rPr>
        <w:t xml:space="preserve"> </w:t>
      </w:r>
      <w:r>
        <w:t>to</w:t>
      </w:r>
      <w:r>
        <w:rPr>
          <w:spacing w:val="-3"/>
        </w:rPr>
        <w:t xml:space="preserve"> </w:t>
      </w:r>
      <w:r>
        <w:t>the</w:t>
      </w:r>
      <w:r>
        <w:rPr>
          <w:spacing w:val="-3"/>
        </w:rPr>
        <w:t xml:space="preserve"> </w:t>
      </w:r>
      <w:r>
        <w:t>first</w:t>
      </w:r>
      <w:r>
        <w:rPr>
          <w:spacing w:val="-3"/>
        </w:rPr>
        <w:t xml:space="preserve"> </w:t>
      </w:r>
      <w:r>
        <w:t>rehearsal</w:t>
      </w:r>
      <w:r>
        <w:rPr>
          <w:spacing w:val="-3"/>
        </w:rPr>
        <w:t xml:space="preserve"> </w:t>
      </w:r>
      <w:r>
        <w:t>and</w:t>
      </w:r>
      <w:r>
        <w:rPr>
          <w:spacing w:val="-3"/>
        </w:rPr>
        <w:t xml:space="preserve"> </w:t>
      </w:r>
      <w:r>
        <w:t>five</w:t>
      </w:r>
      <w:r>
        <w:rPr>
          <w:spacing w:val="-3"/>
        </w:rPr>
        <w:t xml:space="preserve"> </w:t>
      </w:r>
      <w:r>
        <w:t>weeks</w:t>
      </w:r>
      <w:r>
        <w:rPr>
          <w:spacing w:val="-3"/>
        </w:rPr>
        <w:t xml:space="preserve"> </w:t>
      </w:r>
      <w:r>
        <w:t>prior</w:t>
      </w:r>
      <w:r>
        <w:rPr>
          <w:spacing w:val="-3"/>
        </w:rPr>
        <w:t xml:space="preserve"> </w:t>
      </w:r>
      <w:r>
        <w:t>to</w:t>
      </w:r>
      <w:r>
        <w:rPr>
          <w:spacing w:val="-2"/>
        </w:rPr>
        <w:t xml:space="preserve"> </w:t>
      </w:r>
      <w:r>
        <w:t>the</w:t>
      </w:r>
      <w:r>
        <w:rPr>
          <w:spacing w:val="-3"/>
        </w:rPr>
        <w:t xml:space="preserve"> </w:t>
      </w:r>
      <w:r>
        <w:t>performance,</w:t>
      </w:r>
      <w:r>
        <w:rPr>
          <w:spacing w:val="-3"/>
        </w:rPr>
        <w:t xml:space="preserve"> </w:t>
      </w:r>
      <w:r>
        <w:t>or</w:t>
      </w:r>
      <w:r>
        <w:rPr>
          <w:spacing w:val="-3"/>
        </w:rPr>
        <w:t xml:space="preserve"> </w:t>
      </w:r>
      <w:r>
        <w:t>else</w:t>
      </w:r>
      <w:r>
        <w:rPr>
          <w:spacing w:val="-3"/>
        </w:rPr>
        <w:t xml:space="preserve"> </w:t>
      </w:r>
      <w:r>
        <w:t>a</w:t>
      </w:r>
      <w:r>
        <w:rPr>
          <w:spacing w:val="-3"/>
        </w:rPr>
        <w:t xml:space="preserve"> </w:t>
      </w:r>
      <w:r>
        <w:t>pianist</w:t>
      </w:r>
      <w:r>
        <w:rPr>
          <w:spacing w:val="-3"/>
        </w:rPr>
        <w:t xml:space="preserve"> </w:t>
      </w:r>
      <w:r>
        <w:t>will</w:t>
      </w:r>
      <w:r>
        <w:rPr>
          <w:spacing w:val="-3"/>
        </w:rPr>
        <w:t xml:space="preserve"> </w:t>
      </w:r>
      <w:r>
        <w:t>not be</w:t>
      </w:r>
      <w:r>
        <w:rPr>
          <w:spacing w:val="-1"/>
        </w:rPr>
        <w:t xml:space="preserve"> </w:t>
      </w:r>
      <w:r>
        <w:t>assigned.</w:t>
      </w:r>
      <w:r>
        <w:rPr>
          <w:spacing w:val="-9"/>
        </w:rPr>
        <w:t xml:space="preserve"> </w:t>
      </w:r>
      <w:r>
        <w:t>The</w:t>
      </w:r>
      <w:r>
        <w:rPr>
          <w:spacing w:val="-5"/>
        </w:rPr>
        <w:t xml:space="preserve"> </w:t>
      </w:r>
      <w:r>
        <w:t>only</w:t>
      </w:r>
      <w:r>
        <w:rPr>
          <w:spacing w:val="-4"/>
        </w:rPr>
        <w:t xml:space="preserve"> </w:t>
      </w:r>
      <w:r>
        <w:t>exception</w:t>
      </w:r>
      <w:r>
        <w:rPr>
          <w:spacing w:val="-4"/>
        </w:rPr>
        <w:t xml:space="preserve"> </w:t>
      </w:r>
      <w:r>
        <w:t>to</w:t>
      </w:r>
      <w:r>
        <w:rPr>
          <w:spacing w:val="-4"/>
        </w:rPr>
        <w:t xml:space="preserve"> </w:t>
      </w:r>
      <w:r>
        <w:t>this</w:t>
      </w:r>
      <w:r>
        <w:rPr>
          <w:spacing w:val="-4"/>
        </w:rPr>
        <w:t xml:space="preserve"> </w:t>
      </w:r>
      <w:r>
        <w:t>rule</w:t>
      </w:r>
      <w:r>
        <w:rPr>
          <w:spacing w:val="-5"/>
        </w:rPr>
        <w:t xml:space="preserve"> </w:t>
      </w:r>
      <w:r>
        <w:t>is</w:t>
      </w:r>
      <w:r>
        <w:rPr>
          <w:spacing w:val="-4"/>
        </w:rPr>
        <w:t xml:space="preserve"> </w:t>
      </w:r>
      <w:r>
        <w:t>when</w:t>
      </w:r>
      <w:r>
        <w:rPr>
          <w:spacing w:val="-4"/>
        </w:rPr>
        <w:t xml:space="preserve"> </w:t>
      </w:r>
      <w:r>
        <w:t>the</w:t>
      </w:r>
      <w:r>
        <w:rPr>
          <w:spacing w:val="-5"/>
        </w:rPr>
        <w:t xml:space="preserve"> </w:t>
      </w:r>
      <w:r>
        <w:t>performances</w:t>
      </w:r>
      <w:r>
        <w:rPr>
          <w:spacing w:val="-4"/>
        </w:rPr>
        <w:t xml:space="preserve"> </w:t>
      </w:r>
      <w:r>
        <w:t>occur</w:t>
      </w:r>
      <w:r>
        <w:rPr>
          <w:spacing w:val="-4"/>
        </w:rPr>
        <w:t xml:space="preserve"> </w:t>
      </w:r>
      <w:r>
        <w:t>within</w:t>
      </w:r>
      <w:r>
        <w:rPr>
          <w:spacing w:val="-4"/>
        </w:rPr>
        <w:t xml:space="preserve"> </w:t>
      </w:r>
      <w:r>
        <w:t>the</w:t>
      </w:r>
      <w:r>
        <w:rPr>
          <w:spacing w:val="-5"/>
        </w:rPr>
        <w:t xml:space="preserve"> </w:t>
      </w:r>
      <w:r>
        <w:t xml:space="preserve">first five weeks of the semester; in this instance, scores must be received within the first two </w:t>
      </w:r>
      <w:r>
        <w:rPr>
          <w:spacing w:val="-2"/>
        </w:rPr>
        <w:t>weeks.</w:t>
      </w:r>
    </w:p>
    <w:p w14:paraId="54074BFE" w14:textId="77777777" w:rsidR="00D252BE" w:rsidRDefault="00D252BE">
      <w:pPr>
        <w:pStyle w:val="BodyText"/>
        <w:spacing w:before="2"/>
        <w:rPr>
          <w:sz w:val="23"/>
        </w:rPr>
      </w:pPr>
    </w:p>
    <w:p w14:paraId="36FB321B" w14:textId="77777777" w:rsidR="00D252BE" w:rsidRDefault="00000000">
      <w:pPr>
        <w:pStyle w:val="BodyText"/>
        <w:spacing w:line="264" w:lineRule="auto"/>
        <w:ind w:left="119" w:right="111"/>
      </w:pPr>
      <w:r>
        <w:t>The applied teacher, student, and pianist must mutually agree upon and schedule the student’s</w:t>
      </w:r>
      <w:r>
        <w:rPr>
          <w:spacing w:val="-9"/>
        </w:rPr>
        <w:t xml:space="preserve"> </w:t>
      </w:r>
      <w:r>
        <w:t>hearing</w:t>
      </w:r>
      <w:r>
        <w:rPr>
          <w:spacing w:val="-9"/>
        </w:rPr>
        <w:t xml:space="preserve"> </w:t>
      </w:r>
      <w:r>
        <w:t>and</w:t>
      </w:r>
      <w:r>
        <w:rPr>
          <w:spacing w:val="-9"/>
        </w:rPr>
        <w:t xml:space="preserve"> </w:t>
      </w:r>
      <w:r>
        <w:t>all</w:t>
      </w:r>
      <w:r>
        <w:rPr>
          <w:spacing w:val="-9"/>
        </w:rPr>
        <w:t xml:space="preserve"> </w:t>
      </w:r>
      <w:r>
        <w:t>other</w:t>
      </w:r>
      <w:r>
        <w:rPr>
          <w:spacing w:val="-9"/>
        </w:rPr>
        <w:t xml:space="preserve"> </w:t>
      </w:r>
      <w:r>
        <w:t>performance</w:t>
      </w:r>
      <w:r>
        <w:rPr>
          <w:spacing w:val="-10"/>
        </w:rPr>
        <w:t xml:space="preserve"> </w:t>
      </w:r>
      <w:r>
        <w:t>events</w:t>
      </w:r>
      <w:r>
        <w:rPr>
          <w:spacing w:val="-9"/>
        </w:rPr>
        <w:t xml:space="preserve"> </w:t>
      </w:r>
      <w:r>
        <w:t>once</w:t>
      </w:r>
      <w:r>
        <w:rPr>
          <w:spacing w:val="-10"/>
        </w:rPr>
        <w:t xml:space="preserve"> </w:t>
      </w:r>
      <w:r>
        <w:t>recitals</w:t>
      </w:r>
      <w:r>
        <w:rPr>
          <w:spacing w:val="-8"/>
        </w:rPr>
        <w:t xml:space="preserve"> </w:t>
      </w:r>
      <w:r>
        <w:t>are</w:t>
      </w:r>
      <w:r>
        <w:rPr>
          <w:spacing w:val="-10"/>
        </w:rPr>
        <w:t xml:space="preserve"> </w:t>
      </w:r>
      <w:r>
        <w:t>scheduled.</w:t>
      </w:r>
      <w:r>
        <w:rPr>
          <w:spacing w:val="-9"/>
        </w:rPr>
        <w:t xml:space="preserve"> </w:t>
      </w:r>
      <w:r>
        <w:t>Rehearsals will not begin until all dates are scheduled and confirmed with the student and his or her collaborative pianist.</w:t>
      </w:r>
    </w:p>
    <w:p w14:paraId="5DBDFFB0" w14:textId="77777777" w:rsidR="00D252BE" w:rsidRDefault="00D252BE">
      <w:pPr>
        <w:pStyle w:val="BodyText"/>
        <w:spacing w:before="6"/>
        <w:rPr>
          <w:sz w:val="23"/>
        </w:rPr>
      </w:pPr>
    </w:p>
    <w:p w14:paraId="5D06E086" w14:textId="77777777" w:rsidR="00D252BE" w:rsidRDefault="00000000">
      <w:pPr>
        <w:pStyle w:val="BodyText"/>
        <w:spacing w:line="264" w:lineRule="auto"/>
        <w:ind w:left="119" w:right="111"/>
      </w:pPr>
      <w:r>
        <w:rPr>
          <w:noProof/>
        </w:rPr>
        <mc:AlternateContent>
          <mc:Choice Requires="wps">
            <w:drawing>
              <wp:anchor distT="0" distB="0" distL="0" distR="0" simplePos="0" relativeHeight="15729152" behindDoc="0" locked="0" layoutInCell="1" allowOverlap="1" wp14:anchorId="2F59F873" wp14:editId="299D1F9B">
                <wp:simplePos x="0" y="0"/>
                <wp:positionH relativeFrom="page">
                  <wp:posOffset>965200</wp:posOffset>
                </wp:positionH>
                <wp:positionV relativeFrom="paragraph">
                  <wp:posOffset>2119883</wp:posOffset>
                </wp:positionV>
                <wp:extent cx="59436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FFC957"/>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76pt,166.919998pt" to="544.000007pt,166.919998pt" stroked="true" strokeweight="1.0pt" strokecolor="#ffc957">
                <v:stroke dashstyle="solid"/>
                <w10:wrap type="none"/>
              </v:line>
            </w:pict>
          </mc:Fallback>
        </mc:AlternateContent>
      </w:r>
      <w:r>
        <w:t>Students</w:t>
      </w:r>
      <w:r>
        <w:rPr>
          <w:spacing w:val="-1"/>
        </w:rPr>
        <w:t xml:space="preserve"> </w:t>
      </w:r>
      <w:r>
        <w:t>must</w:t>
      </w:r>
      <w:r>
        <w:rPr>
          <w:spacing w:val="-1"/>
        </w:rPr>
        <w:t xml:space="preserve"> </w:t>
      </w:r>
      <w:r>
        <w:t>provide</w:t>
      </w:r>
      <w:r>
        <w:rPr>
          <w:spacing w:val="-3"/>
        </w:rPr>
        <w:t xml:space="preserve"> </w:t>
      </w:r>
      <w:r>
        <w:t>their</w:t>
      </w:r>
      <w:r>
        <w:rPr>
          <w:spacing w:val="-1"/>
        </w:rPr>
        <w:t xml:space="preserve"> </w:t>
      </w:r>
      <w:r>
        <w:t>collaborative</w:t>
      </w:r>
      <w:r>
        <w:rPr>
          <w:spacing w:val="-3"/>
        </w:rPr>
        <w:t xml:space="preserve"> </w:t>
      </w:r>
      <w:r>
        <w:t>pianist</w:t>
      </w:r>
      <w:r>
        <w:rPr>
          <w:spacing w:val="-1"/>
        </w:rPr>
        <w:t xml:space="preserve"> </w:t>
      </w:r>
      <w:r>
        <w:t>with</w:t>
      </w:r>
      <w:r>
        <w:rPr>
          <w:spacing w:val="-1"/>
        </w:rPr>
        <w:t xml:space="preserve"> </w:t>
      </w:r>
      <w:r>
        <w:t>original scores,</w:t>
      </w:r>
      <w:r>
        <w:rPr>
          <w:spacing w:val="-1"/>
        </w:rPr>
        <w:t xml:space="preserve"> </w:t>
      </w:r>
      <w:r>
        <w:t>or</w:t>
      </w:r>
      <w:r>
        <w:rPr>
          <w:spacing w:val="-1"/>
        </w:rPr>
        <w:t xml:space="preserve"> </w:t>
      </w:r>
      <w:r>
        <w:t>two-sided</w:t>
      </w:r>
      <w:r>
        <w:rPr>
          <w:spacing w:val="-1"/>
        </w:rPr>
        <w:t xml:space="preserve"> </w:t>
      </w:r>
      <w:r>
        <w:t>copies of the music with holes punched unless the assigned pianist says otherwise. Please retain the original</w:t>
      </w:r>
      <w:r>
        <w:rPr>
          <w:spacing w:val="-3"/>
        </w:rPr>
        <w:t xml:space="preserve"> </w:t>
      </w:r>
      <w:r>
        <w:t>page</w:t>
      </w:r>
      <w:r>
        <w:rPr>
          <w:spacing w:val="-3"/>
        </w:rPr>
        <w:t xml:space="preserve"> </w:t>
      </w:r>
      <w:r>
        <w:t>turns</w:t>
      </w:r>
      <w:r>
        <w:rPr>
          <w:spacing w:val="-3"/>
        </w:rPr>
        <w:t xml:space="preserve"> </w:t>
      </w:r>
      <w:r>
        <w:t>from</w:t>
      </w:r>
      <w:r>
        <w:rPr>
          <w:spacing w:val="-3"/>
        </w:rPr>
        <w:t xml:space="preserve"> </w:t>
      </w:r>
      <w:r>
        <w:t>the</w:t>
      </w:r>
      <w:r>
        <w:rPr>
          <w:spacing w:val="-3"/>
        </w:rPr>
        <w:t xml:space="preserve"> </w:t>
      </w:r>
      <w:r>
        <w:t>score.</w:t>
      </w:r>
      <w:r>
        <w:rPr>
          <w:spacing w:val="-3"/>
        </w:rPr>
        <w:t xml:space="preserve"> </w:t>
      </w:r>
      <w:r>
        <w:t>Pages</w:t>
      </w:r>
      <w:r>
        <w:rPr>
          <w:spacing w:val="-3"/>
        </w:rPr>
        <w:t xml:space="preserve"> </w:t>
      </w:r>
      <w:r>
        <w:t>may</w:t>
      </w:r>
      <w:r>
        <w:rPr>
          <w:spacing w:val="-3"/>
        </w:rPr>
        <w:t xml:space="preserve"> </w:t>
      </w:r>
      <w:r>
        <w:t>be</w:t>
      </w:r>
      <w:r>
        <w:rPr>
          <w:spacing w:val="-3"/>
        </w:rPr>
        <w:t xml:space="preserve"> </w:t>
      </w:r>
      <w:r>
        <w:t>taped</w:t>
      </w:r>
      <w:r>
        <w:rPr>
          <w:spacing w:val="-3"/>
        </w:rPr>
        <w:t xml:space="preserve"> </w:t>
      </w:r>
      <w:r>
        <w:t>together</w:t>
      </w:r>
      <w:r>
        <w:rPr>
          <w:spacing w:val="-3"/>
        </w:rPr>
        <w:t xml:space="preserve"> </w:t>
      </w:r>
      <w:r>
        <w:t>but</w:t>
      </w:r>
      <w:r>
        <w:rPr>
          <w:spacing w:val="-3"/>
        </w:rPr>
        <w:t xml:space="preserve"> </w:t>
      </w:r>
      <w:r>
        <w:t>should</w:t>
      </w:r>
      <w:r>
        <w:rPr>
          <w:spacing w:val="-3"/>
        </w:rPr>
        <w:t xml:space="preserve"> </w:t>
      </w:r>
      <w:r>
        <w:t>not</w:t>
      </w:r>
      <w:r>
        <w:rPr>
          <w:spacing w:val="-3"/>
        </w:rPr>
        <w:t xml:space="preserve"> </w:t>
      </w:r>
      <w:r>
        <w:t>be</w:t>
      </w:r>
      <w:r>
        <w:rPr>
          <w:spacing w:val="-3"/>
        </w:rPr>
        <w:t xml:space="preserve"> </w:t>
      </w:r>
      <w:r>
        <w:t>stapled. Copies must be legible. Copies need to include all the notes to be played. If the music is illegible or incomplete, it will be returned to the student. The collaborative pianist must be notified immediately if repertoire or schedule changes must be made; an effort for accommodation will be considered, but not guaranteed.</w:t>
      </w:r>
    </w:p>
    <w:sectPr w:rsidR="00D252BE">
      <w:type w:val="continuous"/>
      <w:pgSz w:w="12240" w:h="15840"/>
      <w:pgMar w:top="1440" w:right="15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Avenir-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252BE"/>
    <w:rsid w:val="0049720E"/>
    <w:rsid w:val="00D2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DF9C6"/>
  <w15:docId w15:val="{9989DD7F-C44C-3247-B339-88FD66C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3"/>
      <w:ind w:left="2556" w:right="2464"/>
      <w:jc w:val="center"/>
    </w:pPr>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720E"/>
    <w:rPr>
      <w:color w:val="0000FF" w:themeColor="hyperlink"/>
      <w:u w:val="single"/>
    </w:rPr>
  </w:style>
  <w:style w:type="character" w:styleId="UnresolvedMention">
    <w:name w:val="Unresolved Mention"/>
    <w:basedOn w:val="DefaultParagraphFont"/>
    <w:uiPriority w:val="99"/>
    <w:semiHidden/>
    <w:unhideWhenUsed/>
    <w:rsid w:val="0049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5W7yRTTxnkO8k-bH4z1hwn0pKhIiwPpMi19sl_JJTr5UN0FNUVBOUTdKQUNESktBWlVSVVMzMVNVTS4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Marier</cp:lastModifiedBy>
  <cp:revision>2</cp:revision>
  <dcterms:created xsi:type="dcterms:W3CDTF">2023-09-08T19:44:00Z</dcterms:created>
  <dcterms:modified xsi:type="dcterms:W3CDTF">2023-09-08T19:45:00Z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LastSaved">
    <vt:filetime>2023-09-08T00:00:00Z</vt:filetime>
  </property>
  <property fmtid="{D5CDD505-2E9C-101B-9397-08002B2CF9AE}" pid="4" name="Producer">
    <vt:lpwstr>macOS Version 13.5 (Build 22G74) Quartz PDFContext</vt:lpwstr>
  </property>
</Properties>
</file>