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D97A4" w14:textId="77777777" w:rsidR="00B65F05" w:rsidRDefault="00B65F05">
      <w:pPr>
        <w:spacing w:line="240" w:lineRule="auto"/>
      </w:pPr>
    </w:p>
    <w:p w14:paraId="70AF6782" w14:textId="77777777" w:rsidR="00B65F05" w:rsidRDefault="00000000">
      <w:pPr>
        <w:spacing w:line="240" w:lineRule="auto"/>
        <w:rPr>
          <w:i/>
          <w:iCs/>
          <w:sz w:val="20"/>
          <w:szCs w:val="20"/>
        </w:rPr>
      </w:pPr>
      <w:r>
        <w:rPr>
          <w:i/>
          <w:iCs/>
          <w:sz w:val="20"/>
          <w:szCs w:val="20"/>
        </w:rPr>
        <w:t>Delegates,</w:t>
      </w:r>
    </w:p>
    <w:p w14:paraId="1422ECE0" w14:textId="77777777" w:rsidR="00B65F05" w:rsidRDefault="00B65F05">
      <w:pPr>
        <w:spacing w:line="240" w:lineRule="auto"/>
        <w:rPr>
          <w:i/>
          <w:iCs/>
          <w:sz w:val="20"/>
          <w:szCs w:val="20"/>
        </w:rPr>
      </w:pPr>
    </w:p>
    <w:p w14:paraId="1AE61097" w14:textId="77777777" w:rsidR="00B65F05" w:rsidRDefault="00000000">
      <w:pPr>
        <w:spacing w:line="240" w:lineRule="auto"/>
        <w:ind w:firstLine="720"/>
        <w:rPr>
          <w:sz w:val="20"/>
          <w:szCs w:val="20"/>
        </w:rPr>
      </w:pPr>
      <w:r>
        <w:rPr>
          <w:sz w:val="20"/>
          <w:szCs w:val="20"/>
        </w:rPr>
        <w:t xml:space="preserve">It is our pleasure to welcome you to the 2026 Kennesaw State University (KSU) High School Model United Nations (HSMUN) Conference. My name is Anna Santmier and I have the honor of serving as your Director for the General Assembly Plenary (GA Plen). I have been on KSU’s Model UN team since 2022 and it is my fourth year </w:t>
      </w:r>
      <w:proofErr w:type="spellStart"/>
      <w:r>
        <w:rPr>
          <w:sz w:val="20"/>
          <w:szCs w:val="20"/>
        </w:rPr>
        <w:t>diasing</w:t>
      </w:r>
      <w:proofErr w:type="spellEnd"/>
      <w:r>
        <w:rPr>
          <w:sz w:val="20"/>
          <w:szCs w:val="20"/>
        </w:rPr>
        <w:t xml:space="preserve"> for GA Plen. I am currently pursuing my bachelor’s degree in Civil Engineering with a minor in Environmental Engineering. A fun fact about me is that I collect outdated textbooks. I look forward to seeing you all collaborate and develop unique solutions to this committee’s topics!</w:t>
      </w:r>
    </w:p>
    <w:p w14:paraId="071721B6" w14:textId="77777777" w:rsidR="00B65F05" w:rsidRDefault="00000000">
      <w:pPr>
        <w:spacing w:line="240" w:lineRule="auto"/>
        <w:ind w:firstLine="720"/>
        <w:rPr>
          <w:sz w:val="20"/>
          <w:szCs w:val="20"/>
        </w:rPr>
      </w:pPr>
      <w:r>
        <w:rPr>
          <w:sz w:val="20"/>
          <w:szCs w:val="20"/>
        </w:rPr>
        <w:t xml:space="preserve">Our committee’s Assistant Director is Iman </w:t>
      </w:r>
      <w:proofErr w:type="spellStart"/>
      <w:r>
        <w:rPr>
          <w:sz w:val="20"/>
          <w:szCs w:val="20"/>
        </w:rPr>
        <w:t>Suberu</w:t>
      </w:r>
      <w:proofErr w:type="spellEnd"/>
      <w:r>
        <w:rPr>
          <w:sz w:val="20"/>
          <w:szCs w:val="20"/>
        </w:rPr>
        <w:t xml:space="preserve">. She is a sophomore who is pursuing a degree in International Affairs and Business with a minor in French. This is her second year in KSU Model UN and HSMUN but this is her 5th year doing Model UN as a whole. A fun fact about Iman is that her favorite place she has traveled to is Saudi Arabia. </w:t>
      </w:r>
    </w:p>
    <w:p w14:paraId="1D750714" w14:textId="77777777" w:rsidR="00B65F05" w:rsidRDefault="00000000">
      <w:pPr>
        <w:spacing w:line="240" w:lineRule="auto"/>
        <w:ind w:firstLine="720"/>
        <w:rPr>
          <w:sz w:val="20"/>
          <w:szCs w:val="20"/>
        </w:rPr>
      </w:pPr>
      <w:r>
        <w:rPr>
          <w:sz w:val="20"/>
          <w:szCs w:val="20"/>
        </w:rPr>
        <w:t xml:space="preserve">Our committee's 2nd Assistant Director is Briana Castro-Balbi. Briana is a freshman getting their degree in International Affairs and Modern Language and Culture with a concentration in Chinese, and this is their first year in both KSU’s Model UN and KSU’s High School Model UN. A fun fact about Briana is growing a pomegranate tree army in her dorm. </w:t>
      </w:r>
    </w:p>
    <w:p w14:paraId="2D9D5A71" w14:textId="77777777" w:rsidR="00B65F05" w:rsidRDefault="00000000">
      <w:pPr>
        <w:spacing w:line="240" w:lineRule="auto"/>
        <w:ind w:firstLine="720"/>
        <w:rPr>
          <w:sz w:val="20"/>
          <w:szCs w:val="20"/>
        </w:rPr>
      </w:pPr>
      <w:r>
        <w:rPr>
          <w:sz w:val="20"/>
          <w:szCs w:val="20"/>
        </w:rPr>
        <w:t>Our committee’s 3rd Assistant Director is Justin Smith Jr. Justin is a Junior getting their degree in Political Science, and this is their first year in Model UN and High School Model UN. Something cool about Justin is that he is double jointed.</w:t>
      </w:r>
    </w:p>
    <w:p w14:paraId="08A3622B" w14:textId="77777777" w:rsidR="00B65F05" w:rsidRDefault="00B65F05">
      <w:pPr>
        <w:spacing w:line="240" w:lineRule="auto"/>
        <w:ind w:firstLine="720"/>
        <w:rPr>
          <w:sz w:val="20"/>
          <w:szCs w:val="20"/>
        </w:rPr>
      </w:pPr>
    </w:p>
    <w:p w14:paraId="7EF9B92D" w14:textId="77777777" w:rsidR="00B65F05" w:rsidRDefault="00B65F05">
      <w:pPr>
        <w:spacing w:line="240" w:lineRule="auto"/>
        <w:ind w:firstLine="720"/>
        <w:rPr>
          <w:sz w:val="20"/>
          <w:szCs w:val="20"/>
        </w:rPr>
      </w:pPr>
    </w:p>
    <w:p w14:paraId="4D41DDF8" w14:textId="77777777" w:rsidR="00B65F05" w:rsidRDefault="00000000">
      <w:pPr>
        <w:spacing w:line="240" w:lineRule="auto"/>
        <w:jc w:val="center"/>
        <w:rPr>
          <w:b/>
          <w:bCs/>
          <w:sz w:val="20"/>
          <w:szCs w:val="20"/>
        </w:rPr>
      </w:pPr>
      <w:r>
        <w:rPr>
          <w:b/>
          <w:bCs/>
          <w:sz w:val="20"/>
          <w:szCs w:val="20"/>
        </w:rPr>
        <w:t>The topics under discussion for the United Nations General Assembly Plenary Committee:</w:t>
      </w:r>
    </w:p>
    <w:p w14:paraId="72ED5F36" w14:textId="77777777" w:rsidR="00B65F05" w:rsidRDefault="00B65F05">
      <w:pPr>
        <w:spacing w:line="240" w:lineRule="auto"/>
        <w:rPr>
          <w:sz w:val="20"/>
          <w:szCs w:val="20"/>
        </w:rPr>
      </w:pPr>
    </w:p>
    <w:p w14:paraId="176A9EF1" w14:textId="77777777" w:rsidR="00B65F05" w:rsidRDefault="00000000">
      <w:pPr>
        <w:numPr>
          <w:ilvl w:val="0"/>
          <w:numId w:val="1"/>
        </w:numPr>
        <w:spacing w:line="240" w:lineRule="auto"/>
        <w:rPr>
          <w:b/>
          <w:bCs/>
          <w:sz w:val="18"/>
          <w:szCs w:val="18"/>
        </w:rPr>
      </w:pPr>
      <w:r>
        <w:rPr>
          <w:b/>
          <w:bCs/>
          <w:sz w:val="20"/>
          <w:szCs w:val="20"/>
        </w:rPr>
        <w:t xml:space="preserve">Evaluating Measures to Support International Press Integrity in the Modern Digital Age </w:t>
      </w:r>
    </w:p>
    <w:p w14:paraId="706054D8" w14:textId="77777777" w:rsidR="00B65F05" w:rsidRDefault="00000000">
      <w:pPr>
        <w:numPr>
          <w:ilvl w:val="0"/>
          <w:numId w:val="1"/>
        </w:numPr>
        <w:spacing w:line="240" w:lineRule="auto"/>
        <w:rPr>
          <w:b/>
          <w:bCs/>
          <w:sz w:val="20"/>
          <w:szCs w:val="20"/>
        </w:rPr>
      </w:pPr>
      <w:r>
        <w:rPr>
          <w:b/>
          <w:bCs/>
          <w:sz w:val="20"/>
          <w:szCs w:val="20"/>
        </w:rPr>
        <w:t>Addressing Issues of Overfishing Crimes in International Waters</w:t>
      </w:r>
    </w:p>
    <w:p w14:paraId="3AA3E5BE" w14:textId="77777777" w:rsidR="00B65F05" w:rsidRDefault="00B65F05">
      <w:pPr>
        <w:spacing w:line="240" w:lineRule="auto"/>
        <w:ind w:firstLine="720"/>
        <w:rPr>
          <w:sz w:val="20"/>
          <w:szCs w:val="20"/>
        </w:rPr>
      </w:pPr>
    </w:p>
    <w:p w14:paraId="3CB18CDB" w14:textId="77777777" w:rsidR="00B65F05" w:rsidRDefault="00000000">
      <w:pPr>
        <w:spacing w:line="240" w:lineRule="auto"/>
        <w:ind w:firstLine="720"/>
        <w:rPr>
          <w:b/>
          <w:bCs/>
          <w:sz w:val="24"/>
          <w:szCs w:val="24"/>
        </w:rPr>
        <w:sectPr w:rsidR="00B65F05">
          <w:headerReference w:type="default" r:id="rId8"/>
          <w:headerReference w:type="first" r:id="rId9"/>
          <w:footerReference w:type="first" r:id="rId10"/>
          <w:pgSz w:w="12240" w:h="15840"/>
          <w:pgMar w:top="1440" w:right="1440" w:bottom="1440" w:left="1440" w:header="720" w:footer="720" w:gutter="0"/>
          <w:pgNumType w:start="1"/>
          <w:cols w:space="720"/>
          <w:titlePg/>
        </w:sectPr>
      </w:pPr>
      <w:r>
        <w:rPr>
          <w:sz w:val="20"/>
          <w:szCs w:val="20"/>
        </w:rPr>
        <w:t xml:space="preserve">Each Member State’s delegation within this committee is expected to submit a position paper presenting their ideas for both agenda topics. A position paper is a short essay describing your Member State’s history and position on the issues at hand. There are three key parts to any successful position paper: history, current status of the issue, and possible solutions for the future. Information for properly formatting the position papers, as well as valuable advice for writing a quality paper, can be found in the Delegate Preparation section of the HSMUN webpage (https://www.kennesaw.edu/conferences/high-school-model-united-nations-conference/). Delegates are reminded that papers should be no longer than two pages in length with titles in size 12 and text in size 10-12 Times New Roman. Citations should be footnoted in Chicago-style formatting, such as those used inside this guide. Furthermore, plagiarism in an academic setting is unacceptable and will nullify any score for the paper in question. During the grading process, we will be utilizing the university’s plagiarism checker. Wikipedia is a wonderful place to begin researching, but we highly encourage the use of peer-reviewed academic articles or trusted media sources.  The objective of a position paper is to present the diplomatic position of your Member State on both agenda topics as accurately as possible.  </w:t>
      </w:r>
      <w:r>
        <w:rPr>
          <w:b/>
          <w:bCs/>
          <w:i/>
          <w:iCs/>
          <w:sz w:val="20"/>
          <w:szCs w:val="20"/>
          <w:u w:val="single"/>
        </w:rPr>
        <w:t>All position papers MUST be sent to ksuhsmun2526@gmail.com by February 20th, 2026. Late papers will be accepted until February 25th, 2026 with points penalized.</w:t>
      </w:r>
    </w:p>
    <w:p w14:paraId="02757771" w14:textId="77777777" w:rsidR="00B65F05" w:rsidRDefault="00000000">
      <w:pPr>
        <w:widowControl w:val="0"/>
        <w:spacing w:line="240" w:lineRule="auto"/>
        <w:jc w:val="center"/>
        <w:rPr>
          <w:b/>
          <w:bCs/>
          <w:sz w:val="24"/>
          <w:szCs w:val="24"/>
        </w:rPr>
      </w:pPr>
      <w:r>
        <w:rPr>
          <w:b/>
          <w:bCs/>
          <w:sz w:val="24"/>
          <w:szCs w:val="24"/>
        </w:rPr>
        <w:lastRenderedPageBreak/>
        <w:t xml:space="preserve">History of the General Assembly Plenary </w:t>
      </w:r>
    </w:p>
    <w:p w14:paraId="6F73E145" w14:textId="77777777" w:rsidR="00B65F05" w:rsidRDefault="00B65F05">
      <w:pPr>
        <w:widowControl w:val="0"/>
        <w:spacing w:line="240" w:lineRule="auto"/>
        <w:ind w:left="2563" w:right="2587"/>
        <w:rPr>
          <w:b/>
          <w:bCs/>
          <w:sz w:val="24"/>
          <w:szCs w:val="24"/>
        </w:rPr>
      </w:pPr>
    </w:p>
    <w:p w14:paraId="4B960F40" w14:textId="77777777" w:rsidR="00B65F05" w:rsidRDefault="00000000">
      <w:pPr>
        <w:widowControl w:val="0"/>
        <w:spacing w:line="240" w:lineRule="auto"/>
        <w:ind w:right="14" w:firstLine="720"/>
        <w:rPr>
          <w:sz w:val="20"/>
          <w:szCs w:val="20"/>
          <w:vertAlign w:val="superscript"/>
        </w:rPr>
      </w:pPr>
      <w:r>
        <w:rPr>
          <w:sz w:val="20"/>
          <w:szCs w:val="20"/>
        </w:rPr>
        <w:t>The United Nations (UN) was founded on October 24th, 1945, in San Francisco, California with an original member count of 51 Member States.</w:t>
      </w:r>
      <w:r>
        <w:rPr>
          <w:sz w:val="20"/>
          <w:szCs w:val="20"/>
          <w:vertAlign w:val="superscript"/>
        </w:rPr>
        <w:t xml:space="preserve"> </w:t>
      </w:r>
      <w:r>
        <w:rPr>
          <w:sz w:val="20"/>
          <w:szCs w:val="20"/>
        </w:rPr>
        <w:t>The international organization’s main purpose is to maintain international peace and uphold the human rights of every human being in each Member State.</w:t>
      </w:r>
      <w:r>
        <w:rPr>
          <w:sz w:val="20"/>
          <w:szCs w:val="20"/>
          <w:vertAlign w:val="superscript"/>
        </w:rPr>
        <w:t xml:space="preserve">  </w:t>
      </w:r>
      <w:r>
        <w:rPr>
          <w:sz w:val="20"/>
          <w:szCs w:val="20"/>
        </w:rPr>
        <w:t>The UN further works to establish a setting in which obligations from treaties and other sources of international law can be maintained. Over the years, the UN has worked tirelessly to promote social progress and the development of each person’s standard of living. The United Nations Charter established the six principal organs of the UN. These organizations are named as follows: the General Assembly (GA), the Security Council, the Economic and Security Council (ECOSOC), the Trusteeship Council, the International Court of Justice, and the UN Secretariat.</w:t>
      </w:r>
    </w:p>
    <w:p w14:paraId="56D3EC54" w14:textId="77777777" w:rsidR="00B65F05" w:rsidRDefault="00000000">
      <w:pPr>
        <w:widowControl w:val="0"/>
        <w:spacing w:line="240" w:lineRule="auto"/>
        <w:ind w:right="120" w:firstLine="720"/>
        <w:rPr>
          <w:sz w:val="20"/>
          <w:szCs w:val="20"/>
          <w:vertAlign w:val="superscript"/>
        </w:rPr>
      </w:pPr>
      <w:r>
        <w:rPr>
          <w:sz w:val="20"/>
          <w:szCs w:val="20"/>
        </w:rPr>
        <w:t>Since the inception of the UN, the General Assembly has been the only organ in which all 193 Member States have equal representation and voting power. GA Plen currently consists of six main committees; the First Committee on Disarmament &amp; International Security, the Economic &amp; Financial Committee, the Social Humanitarian &amp; Cultural Committee, the Special Political &amp; Decolonization Committee, the Administrative &amp; Budgetary Committee, and the Legal Committee. Each main committee of the GA is headed by a Bureau consisting of a Chair, three Vice-Chairs, and a Rapporteur.</w:t>
      </w:r>
    </w:p>
    <w:p w14:paraId="1B1E49CE" w14:textId="77777777" w:rsidR="00B65F05" w:rsidRDefault="00000000">
      <w:pPr>
        <w:widowControl w:val="0"/>
        <w:spacing w:line="240" w:lineRule="auto"/>
        <w:ind w:right="38" w:firstLine="720"/>
        <w:rPr>
          <w:sz w:val="20"/>
          <w:szCs w:val="20"/>
        </w:rPr>
      </w:pPr>
      <w:r>
        <w:rPr>
          <w:sz w:val="20"/>
          <w:szCs w:val="20"/>
        </w:rPr>
        <w:t>Acting as the main body of the UN gives the General Assembly more responsibilities than most organs. These responsibilities include but are not limited to: (1) receiving and considering annual and special reports from the Security Council, (2) receiving and considering reports from all other organs of the UN, (3) considering and approving the budget of the UN, (4) considering the amount due by each member of the UN, (5) considering financial and budgetary with specialized agencies, (6) electing members to the Economic and Social Council, members of the Trusteeship Council, and the ten non-permanent members to the Security Council. The General Assembly is also responsible for considering admitting new members into the UN as well as suspending the rights and privileges of membership, and the removal of a Member-State’s membership status.</w:t>
      </w:r>
    </w:p>
    <w:p w14:paraId="74021DE7" w14:textId="77777777" w:rsidR="00B65F05" w:rsidRDefault="00000000">
      <w:pPr>
        <w:widowControl w:val="0"/>
        <w:spacing w:line="240" w:lineRule="auto"/>
        <w:ind w:firstLine="720"/>
        <w:rPr>
          <w:sz w:val="20"/>
          <w:szCs w:val="20"/>
        </w:rPr>
      </w:pPr>
      <w:r>
        <w:rPr>
          <w:sz w:val="20"/>
          <w:szCs w:val="20"/>
        </w:rPr>
        <w:t xml:space="preserve">The GA currently does not possess the power to enforce laws or policies. However, The General Assembly as the main policy-making and representative organ is empowered to make recommendations to Member States on global issues. It has continuously promoted initiative actions targeting the political, economic, humanitarian, social, and legal sectors. The GA meetings addressing these sectors have had major impacts on people all over the world today and continue to do so. </w:t>
      </w:r>
    </w:p>
    <w:p w14:paraId="10421E5B" w14:textId="77777777" w:rsidR="00B65F05" w:rsidRDefault="00000000">
      <w:pPr>
        <w:widowControl w:val="0"/>
        <w:spacing w:line="240" w:lineRule="auto"/>
        <w:ind w:firstLine="720"/>
        <w:rPr>
          <w:sz w:val="20"/>
          <w:szCs w:val="20"/>
        </w:rPr>
      </w:pPr>
      <w:r>
        <w:rPr>
          <w:sz w:val="20"/>
          <w:szCs w:val="20"/>
        </w:rPr>
        <w:t>The Assembly is scheduled to meet from September to December each year, and thereafter from January to August as required.</w:t>
      </w:r>
      <w:r>
        <w:rPr>
          <w:sz w:val="20"/>
          <w:szCs w:val="20"/>
          <w:vertAlign w:val="superscript"/>
        </w:rPr>
        <w:t xml:space="preserve"> </w:t>
      </w:r>
      <w:r>
        <w:rPr>
          <w:sz w:val="20"/>
          <w:szCs w:val="20"/>
        </w:rPr>
        <w:t>In September 2015, the Assembly adopted the highly recognized Sustainable Development Agenda, emphasizing a comprehensive approach to achieving sustainable development for all.</w:t>
      </w:r>
      <w:r>
        <w:rPr>
          <w:sz w:val="20"/>
          <w:szCs w:val="20"/>
          <w:vertAlign w:val="superscript"/>
        </w:rPr>
        <w:t xml:space="preserve"> </w:t>
      </w:r>
      <w:r>
        <w:rPr>
          <w:sz w:val="20"/>
          <w:szCs w:val="20"/>
        </w:rPr>
        <w:t>The 17 Sustainable Development Goals (SDGs) to transform the world include:</w:t>
      </w:r>
    </w:p>
    <w:p w14:paraId="53935110" w14:textId="77777777" w:rsidR="00B65F05" w:rsidRDefault="00B65F05">
      <w:pPr>
        <w:widowControl w:val="0"/>
        <w:spacing w:line="240" w:lineRule="auto"/>
        <w:ind w:firstLine="720"/>
        <w:rPr>
          <w:sz w:val="20"/>
          <w:szCs w:val="20"/>
        </w:rPr>
      </w:pPr>
    </w:p>
    <w:p w14:paraId="5599C201" w14:textId="77777777" w:rsidR="00B65F05" w:rsidRDefault="00000000">
      <w:pPr>
        <w:widowControl w:val="0"/>
        <w:spacing w:line="240" w:lineRule="auto"/>
        <w:rPr>
          <w:sz w:val="20"/>
          <w:szCs w:val="20"/>
        </w:rPr>
      </w:pPr>
      <w:r>
        <w:rPr>
          <w:sz w:val="20"/>
          <w:szCs w:val="20"/>
        </w:rPr>
        <w:t xml:space="preserve">Goal 1: No Poverty </w:t>
      </w:r>
    </w:p>
    <w:p w14:paraId="06B48F7C" w14:textId="77777777" w:rsidR="00B65F05" w:rsidRDefault="00000000">
      <w:pPr>
        <w:widowControl w:val="0"/>
        <w:spacing w:line="240" w:lineRule="auto"/>
        <w:rPr>
          <w:sz w:val="20"/>
          <w:szCs w:val="20"/>
        </w:rPr>
      </w:pPr>
      <w:r>
        <w:rPr>
          <w:sz w:val="20"/>
          <w:szCs w:val="20"/>
        </w:rPr>
        <w:t xml:space="preserve">Goal 2: Zero Hunger </w:t>
      </w:r>
    </w:p>
    <w:p w14:paraId="57F149D5" w14:textId="77777777" w:rsidR="00B65F05" w:rsidRDefault="00000000">
      <w:pPr>
        <w:widowControl w:val="0"/>
        <w:spacing w:line="240" w:lineRule="auto"/>
        <w:rPr>
          <w:sz w:val="20"/>
          <w:szCs w:val="20"/>
        </w:rPr>
      </w:pPr>
      <w:r>
        <w:rPr>
          <w:sz w:val="20"/>
          <w:szCs w:val="20"/>
        </w:rPr>
        <w:t xml:space="preserve">Goal 3: Good Health and Well-being </w:t>
      </w:r>
    </w:p>
    <w:p w14:paraId="5EAA5CA6" w14:textId="77777777" w:rsidR="00B65F05" w:rsidRDefault="00000000">
      <w:pPr>
        <w:widowControl w:val="0"/>
        <w:spacing w:line="240" w:lineRule="auto"/>
        <w:rPr>
          <w:sz w:val="20"/>
          <w:szCs w:val="20"/>
        </w:rPr>
      </w:pPr>
      <w:r>
        <w:rPr>
          <w:sz w:val="20"/>
          <w:szCs w:val="20"/>
        </w:rPr>
        <w:t>Goal 4: Quality Education</w:t>
      </w:r>
    </w:p>
    <w:p w14:paraId="48B13834" w14:textId="77777777" w:rsidR="00B65F05" w:rsidRDefault="00000000">
      <w:pPr>
        <w:widowControl w:val="0"/>
        <w:spacing w:line="240" w:lineRule="auto"/>
        <w:rPr>
          <w:sz w:val="20"/>
          <w:szCs w:val="20"/>
        </w:rPr>
      </w:pPr>
      <w:r>
        <w:rPr>
          <w:sz w:val="20"/>
          <w:szCs w:val="20"/>
        </w:rPr>
        <w:t xml:space="preserve">Goal 5: Gender Equality </w:t>
      </w:r>
    </w:p>
    <w:p w14:paraId="51C5EBF2" w14:textId="77777777" w:rsidR="00B65F05" w:rsidRDefault="00000000">
      <w:pPr>
        <w:widowControl w:val="0"/>
        <w:spacing w:line="240" w:lineRule="auto"/>
        <w:rPr>
          <w:sz w:val="20"/>
          <w:szCs w:val="20"/>
        </w:rPr>
      </w:pPr>
      <w:r>
        <w:rPr>
          <w:sz w:val="20"/>
          <w:szCs w:val="20"/>
        </w:rPr>
        <w:t xml:space="preserve">Goal 6: Clean Water and Sanitation </w:t>
      </w:r>
    </w:p>
    <w:p w14:paraId="30F98093" w14:textId="77777777" w:rsidR="00B65F05" w:rsidRDefault="00000000">
      <w:pPr>
        <w:widowControl w:val="0"/>
        <w:spacing w:line="240" w:lineRule="auto"/>
        <w:rPr>
          <w:sz w:val="20"/>
          <w:szCs w:val="20"/>
        </w:rPr>
      </w:pPr>
      <w:r>
        <w:rPr>
          <w:sz w:val="20"/>
          <w:szCs w:val="20"/>
        </w:rPr>
        <w:t xml:space="preserve">Goal 7: Affordable and Clean Energy </w:t>
      </w:r>
    </w:p>
    <w:p w14:paraId="6EC66330" w14:textId="77777777" w:rsidR="00B65F05" w:rsidRDefault="00000000">
      <w:pPr>
        <w:widowControl w:val="0"/>
        <w:spacing w:line="240" w:lineRule="auto"/>
        <w:rPr>
          <w:sz w:val="20"/>
          <w:szCs w:val="20"/>
        </w:rPr>
      </w:pPr>
      <w:r>
        <w:rPr>
          <w:sz w:val="20"/>
          <w:szCs w:val="20"/>
        </w:rPr>
        <w:t xml:space="preserve">Goal 8: Decent Work and Economic Growth </w:t>
      </w:r>
    </w:p>
    <w:p w14:paraId="4BD815D5" w14:textId="77777777" w:rsidR="00B65F05" w:rsidRDefault="00000000">
      <w:pPr>
        <w:widowControl w:val="0"/>
        <w:spacing w:line="240" w:lineRule="auto"/>
        <w:rPr>
          <w:sz w:val="20"/>
          <w:szCs w:val="20"/>
        </w:rPr>
      </w:pPr>
      <w:r>
        <w:rPr>
          <w:sz w:val="20"/>
          <w:szCs w:val="20"/>
        </w:rPr>
        <w:t xml:space="preserve">Goal 9: Industry, Innovation and Infrastructure                     </w:t>
      </w:r>
    </w:p>
    <w:p w14:paraId="3BCA6DB6" w14:textId="77777777" w:rsidR="00B65F05" w:rsidRDefault="00000000">
      <w:pPr>
        <w:widowControl w:val="0"/>
        <w:spacing w:line="240" w:lineRule="auto"/>
        <w:rPr>
          <w:sz w:val="20"/>
          <w:szCs w:val="20"/>
        </w:rPr>
      </w:pPr>
      <w:r>
        <w:rPr>
          <w:sz w:val="20"/>
          <w:szCs w:val="20"/>
        </w:rPr>
        <w:t xml:space="preserve">Goal 10: Reduced Inequality </w:t>
      </w:r>
    </w:p>
    <w:p w14:paraId="5FDFB715" w14:textId="77777777" w:rsidR="00B65F05" w:rsidRDefault="00000000">
      <w:pPr>
        <w:widowControl w:val="0"/>
        <w:spacing w:line="240" w:lineRule="auto"/>
        <w:rPr>
          <w:sz w:val="20"/>
          <w:szCs w:val="20"/>
        </w:rPr>
      </w:pPr>
      <w:r>
        <w:rPr>
          <w:sz w:val="20"/>
          <w:szCs w:val="20"/>
        </w:rPr>
        <w:t>Goal 11: Sustainable Cities and Communities</w:t>
      </w:r>
    </w:p>
    <w:p w14:paraId="247F83E9" w14:textId="77777777" w:rsidR="00B65F05" w:rsidRDefault="00000000">
      <w:pPr>
        <w:widowControl w:val="0"/>
        <w:spacing w:line="240" w:lineRule="auto"/>
        <w:rPr>
          <w:sz w:val="20"/>
          <w:szCs w:val="20"/>
        </w:rPr>
      </w:pPr>
      <w:r>
        <w:rPr>
          <w:sz w:val="20"/>
          <w:szCs w:val="20"/>
        </w:rPr>
        <w:t xml:space="preserve">Goal 12: Responsible Consumption and Production </w:t>
      </w:r>
    </w:p>
    <w:p w14:paraId="4AF44EF8" w14:textId="77777777" w:rsidR="00B65F05" w:rsidRDefault="00000000">
      <w:pPr>
        <w:widowControl w:val="0"/>
        <w:spacing w:line="240" w:lineRule="auto"/>
        <w:rPr>
          <w:sz w:val="20"/>
          <w:szCs w:val="20"/>
        </w:rPr>
      </w:pPr>
      <w:r>
        <w:rPr>
          <w:sz w:val="20"/>
          <w:szCs w:val="20"/>
        </w:rPr>
        <w:t xml:space="preserve">Goal 13: Climate Action </w:t>
      </w:r>
    </w:p>
    <w:p w14:paraId="19866B52" w14:textId="77777777" w:rsidR="00B65F05" w:rsidRDefault="00000000">
      <w:pPr>
        <w:widowControl w:val="0"/>
        <w:spacing w:line="240" w:lineRule="auto"/>
        <w:rPr>
          <w:sz w:val="20"/>
          <w:szCs w:val="20"/>
        </w:rPr>
      </w:pPr>
      <w:r>
        <w:rPr>
          <w:sz w:val="20"/>
          <w:szCs w:val="20"/>
        </w:rPr>
        <w:t xml:space="preserve">Goal 14: Life Below Water </w:t>
      </w:r>
    </w:p>
    <w:p w14:paraId="54CFD97E" w14:textId="77777777" w:rsidR="00B65F05" w:rsidRDefault="00000000">
      <w:pPr>
        <w:widowControl w:val="0"/>
        <w:spacing w:line="240" w:lineRule="auto"/>
        <w:rPr>
          <w:sz w:val="20"/>
          <w:szCs w:val="20"/>
        </w:rPr>
      </w:pPr>
      <w:r>
        <w:rPr>
          <w:sz w:val="20"/>
          <w:szCs w:val="20"/>
        </w:rPr>
        <w:t xml:space="preserve">Goal 15: Life on Land </w:t>
      </w:r>
    </w:p>
    <w:p w14:paraId="44D79329" w14:textId="77777777" w:rsidR="00B65F05" w:rsidRDefault="00000000">
      <w:pPr>
        <w:widowControl w:val="0"/>
        <w:spacing w:line="240" w:lineRule="auto"/>
        <w:rPr>
          <w:sz w:val="20"/>
          <w:szCs w:val="20"/>
        </w:rPr>
      </w:pPr>
      <w:r>
        <w:rPr>
          <w:sz w:val="20"/>
          <w:szCs w:val="20"/>
        </w:rPr>
        <w:t xml:space="preserve">Goal 16: Peace and Justice Strong Institutions </w:t>
      </w:r>
    </w:p>
    <w:p w14:paraId="1D356450" w14:textId="77777777" w:rsidR="00B65F05" w:rsidRDefault="00000000">
      <w:pPr>
        <w:widowControl w:val="0"/>
        <w:spacing w:line="240" w:lineRule="auto"/>
        <w:rPr>
          <w:sz w:val="20"/>
          <w:szCs w:val="20"/>
        </w:rPr>
      </w:pPr>
      <w:r>
        <w:rPr>
          <w:sz w:val="20"/>
          <w:szCs w:val="20"/>
        </w:rPr>
        <w:t>Goal 17: Partnerships to achieve the Goal</w:t>
      </w:r>
    </w:p>
    <w:p w14:paraId="2456116E" w14:textId="77777777" w:rsidR="00B65F05" w:rsidRDefault="00B65F05">
      <w:pPr>
        <w:spacing w:line="240" w:lineRule="auto"/>
      </w:pPr>
    </w:p>
    <w:p w14:paraId="14E75D90" w14:textId="77777777" w:rsidR="00B65F05" w:rsidRDefault="00B65F05">
      <w:pPr>
        <w:spacing w:line="240" w:lineRule="auto"/>
      </w:pPr>
    </w:p>
    <w:p w14:paraId="0AFD246C" w14:textId="77777777" w:rsidR="00B65F05" w:rsidRDefault="00B65F05">
      <w:pPr>
        <w:spacing w:line="240" w:lineRule="auto"/>
        <w:sectPr w:rsidR="00B65F05">
          <w:pgSz w:w="12240" w:h="15840"/>
          <w:pgMar w:top="1440" w:right="1440" w:bottom="1440" w:left="1440" w:header="720" w:footer="720" w:gutter="0"/>
          <w:cols w:space="720"/>
        </w:sectPr>
      </w:pPr>
    </w:p>
    <w:p w14:paraId="2C6B052C" w14:textId="77777777" w:rsidR="00B65F05" w:rsidRDefault="00000000">
      <w:pPr>
        <w:numPr>
          <w:ilvl w:val="0"/>
          <w:numId w:val="2"/>
        </w:numPr>
        <w:spacing w:line="240" w:lineRule="auto"/>
        <w:rPr>
          <w:b/>
          <w:bCs/>
          <w:sz w:val="24"/>
          <w:szCs w:val="24"/>
        </w:rPr>
      </w:pPr>
      <w:r>
        <w:rPr>
          <w:b/>
          <w:bCs/>
          <w:sz w:val="20"/>
          <w:szCs w:val="20"/>
        </w:rPr>
        <w:lastRenderedPageBreak/>
        <w:t>Evaluating Measures to Support International Press Integrity in the Modern Digital Age</w:t>
      </w:r>
    </w:p>
    <w:p w14:paraId="20B23CD5" w14:textId="77777777" w:rsidR="00B65F05" w:rsidRDefault="00B65F05">
      <w:pPr>
        <w:spacing w:line="240" w:lineRule="auto"/>
        <w:ind w:left="720"/>
        <w:rPr>
          <w:b/>
          <w:bCs/>
          <w:sz w:val="20"/>
          <w:szCs w:val="20"/>
        </w:rPr>
      </w:pPr>
    </w:p>
    <w:p w14:paraId="70D474AB" w14:textId="77777777" w:rsidR="00B65F05" w:rsidRDefault="00000000">
      <w:pPr>
        <w:pStyle w:val="Heading2"/>
        <w:spacing w:line="240" w:lineRule="auto"/>
        <w:rPr>
          <w:b w:val="0"/>
          <w:bCs w:val="0"/>
          <w:i w:val="0"/>
          <w:iCs w:val="0"/>
        </w:rPr>
      </w:pPr>
      <w:bookmarkStart w:id="0" w:name="_heading=h.ce1k84k2r5j7" w:colFirst="0" w:colLast="0"/>
      <w:bookmarkEnd w:id="0"/>
      <w:r>
        <w:t>Introduction</w:t>
      </w:r>
    </w:p>
    <w:p w14:paraId="218CB44A" w14:textId="77777777" w:rsidR="00B65F05" w:rsidRDefault="00000000">
      <w:pPr>
        <w:spacing w:line="240" w:lineRule="auto"/>
        <w:rPr>
          <w:sz w:val="20"/>
          <w:szCs w:val="20"/>
        </w:rPr>
      </w:pPr>
      <w:r>
        <w:tab/>
      </w:r>
      <w:r>
        <w:rPr>
          <w:sz w:val="20"/>
          <w:szCs w:val="20"/>
        </w:rPr>
        <w:t>In the wake of the digital age, technological advancements have made the collection and sharing of information related to world news, conflict, and current events more accessible than ever before. According to World Urbanization Prospects organized by the UN Department of Economic and Social Affairs (ECOSOC), approximately 58% of the world’s population lives in urban centers, which in many cases indicate widespread technological availability and internet usage.</w:t>
      </w:r>
      <w:r>
        <w:rPr>
          <w:sz w:val="20"/>
          <w:szCs w:val="20"/>
          <w:vertAlign w:val="superscript"/>
        </w:rPr>
        <w:footnoteReference w:id="1"/>
      </w:r>
      <w:r>
        <w:rPr>
          <w:sz w:val="20"/>
          <w:szCs w:val="20"/>
        </w:rPr>
        <w:t xml:space="preserve"> Additional figures from the International Telecommunication Union (ITU) suggest that 5.5 billion people have access to the internet as of 2024, with an increasing growth rate each year.</w:t>
      </w:r>
      <w:r>
        <w:rPr>
          <w:sz w:val="20"/>
          <w:szCs w:val="20"/>
          <w:vertAlign w:val="superscript"/>
        </w:rPr>
        <w:footnoteReference w:id="2"/>
      </w:r>
      <w:r>
        <w:rPr>
          <w:sz w:val="20"/>
          <w:szCs w:val="20"/>
        </w:rPr>
        <w:t xml:space="preserve"> Estimates made in 2020 report that 53% of the world’s population are active social media users.</w:t>
      </w:r>
      <w:r>
        <w:rPr>
          <w:sz w:val="20"/>
          <w:szCs w:val="20"/>
          <w:vertAlign w:val="superscript"/>
        </w:rPr>
        <w:footnoteReference w:id="3"/>
      </w:r>
      <w:r>
        <w:rPr>
          <w:sz w:val="20"/>
          <w:szCs w:val="20"/>
        </w:rPr>
        <w:t xml:space="preserve"> As the internet becomes an increasingly relevant tool for information dispersion, global information flows are at risk of becoming concentrated into private technology companies and other actors based in only a handful of select Member States. This power imbalance, along with the emergence of digital technologies such as generative Artificial Intelligence (AI),  jeopardizes the integrity of digital public infrastructure (DPI), especially as it relates to international press. With the rise of digital media outlets becoming a common form of information consumption, it is vital that Member States support integral forms of news collection and dispersal. </w:t>
      </w:r>
    </w:p>
    <w:p w14:paraId="2DED5194" w14:textId="77777777" w:rsidR="00B65F05" w:rsidRDefault="00B65F05">
      <w:pPr>
        <w:spacing w:line="240" w:lineRule="auto"/>
        <w:rPr>
          <w:sz w:val="20"/>
          <w:szCs w:val="20"/>
        </w:rPr>
      </w:pPr>
    </w:p>
    <w:p w14:paraId="045F5451" w14:textId="77777777" w:rsidR="00B65F05" w:rsidRDefault="00000000">
      <w:pPr>
        <w:pStyle w:val="Heading2"/>
        <w:spacing w:line="240" w:lineRule="auto"/>
        <w:rPr>
          <w:sz w:val="20"/>
          <w:szCs w:val="20"/>
        </w:rPr>
      </w:pPr>
      <w:bookmarkStart w:id="1" w:name="_heading=h.lbatz3qguv5x" w:colFirst="0" w:colLast="0"/>
      <w:bookmarkEnd w:id="1"/>
      <w:r>
        <w:t>History</w:t>
      </w:r>
    </w:p>
    <w:p w14:paraId="583247B8" w14:textId="77777777" w:rsidR="00B65F05" w:rsidRDefault="00000000">
      <w:pPr>
        <w:spacing w:line="240" w:lineRule="auto"/>
        <w:ind w:firstLine="720"/>
        <w:rPr>
          <w:sz w:val="20"/>
          <w:szCs w:val="20"/>
        </w:rPr>
      </w:pPr>
      <w:r>
        <w:rPr>
          <w:sz w:val="20"/>
          <w:szCs w:val="20"/>
        </w:rPr>
        <w:t>In December 1966, the UN General Assembly adopted the International Covenant on Civil and Political Rights (ICCPR), of which Article 19 and 20 of the ICCPR recognize inalienable freedoms of expression integral to journalism and prohibits the advocacy of that which incites discrimination, hostility, or violence.</w:t>
      </w:r>
      <w:r>
        <w:rPr>
          <w:sz w:val="20"/>
          <w:szCs w:val="20"/>
          <w:vertAlign w:val="superscript"/>
        </w:rPr>
        <w:footnoteReference w:id="4"/>
      </w:r>
      <w:r>
        <w:rPr>
          <w:sz w:val="20"/>
          <w:szCs w:val="20"/>
        </w:rPr>
        <w:t xml:space="preserve"> The UN has long since recognized the danger of disinformation and misinformation in media, both digital and print. Several expert workshops were held by the UN High Commissioner for Human Rights (OHCHR) to gain a better understanding of practices and policies to inhibit incitement of discrimination and hatred and assess how they can be implemented at a global scale.</w:t>
      </w:r>
      <w:r>
        <w:rPr>
          <w:sz w:val="20"/>
          <w:szCs w:val="20"/>
          <w:vertAlign w:val="superscript"/>
        </w:rPr>
        <w:footnoteReference w:id="5"/>
      </w:r>
      <w:r>
        <w:rPr>
          <w:sz w:val="20"/>
          <w:szCs w:val="20"/>
        </w:rPr>
        <w:t xml:space="preserve"> In 2012, the OHCHR issued a report summarizing their findings in the form of the Rabat Plan of Action.</w:t>
      </w:r>
      <w:r>
        <w:rPr>
          <w:sz w:val="20"/>
          <w:szCs w:val="20"/>
          <w:vertAlign w:val="superscript"/>
        </w:rPr>
        <w:footnoteReference w:id="6"/>
      </w:r>
      <w:r>
        <w:rPr>
          <w:sz w:val="20"/>
          <w:szCs w:val="20"/>
        </w:rPr>
        <w:t xml:space="preserve"> The Rabat Plan of Action outlines a six-part threshold test for defining restraints on freedom of expression and incitement to hatred as it pertains to Article 20 of the ICCPR, and maintains that global cooperation between Member States, Non-Governmental Organizations (NGOs), and other stakeholders is essential to preventing the spread of misinformation with the intent of incitement.</w:t>
      </w:r>
      <w:r>
        <w:rPr>
          <w:sz w:val="20"/>
          <w:szCs w:val="20"/>
          <w:vertAlign w:val="superscript"/>
        </w:rPr>
        <w:footnoteReference w:id="7"/>
      </w:r>
      <w:r>
        <w:rPr>
          <w:sz w:val="20"/>
          <w:szCs w:val="20"/>
        </w:rPr>
        <w:t xml:space="preserve"> </w:t>
      </w:r>
    </w:p>
    <w:p w14:paraId="1BF642B3" w14:textId="77777777" w:rsidR="00B65F05" w:rsidRDefault="00000000">
      <w:pPr>
        <w:spacing w:line="240" w:lineRule="auto"/>
        <w:ind w:firstLine="720"/>
        <w:rPr>
          <w:sz w:val="20"/>
          <w:szCs w:val="20"/>
        </w:rPr>
      </w:pPr>
      <w:r>
        <w:rPr>
          <w:sz w:val="20"/>
          <w:szCs w:val="20"/>
        </w:rPr>
        <w:t xml:space="preserve">In 2012, the OHCHR developed the UN Plan of Action on the Safety of Journalists and the Issue of Impunity (UN Plan of Action) which seeks to strengthen peace, democracy, and sustainable civil and political development within and between Member States by protecting journalists and media workers in both conflict and non-conflict zones. </w:t>
      </w:r>
      <w:r>
        <w:rPr>
          <w:sz w:val="20"/>
          <w:szCs w:val="20"/>
          <w:vertAlign w:val="superscript"/>
        </w:rPr>
        <w:footnoteReference w:id="8"/>
      </w:r>
      <w:r>
        <w:rPr>
          <w:sz w:val="20"/>
          <w:szCs w:val="20"/>
        </w:rPr>
        <w:t xml:space="preserve"> Article 1.5 denotes the importance of expanding protections of the press to include community media workers and citizen journalists who use alternative forms of media, such as digital press, to reach their </w:t>
      </w:r>
      <w:r>
        <w:rPr>
          <w:sz w:val="20"/>
          <w:szCs w:val="20"/>
        </w:rPr>
        <w:lastRenderedPageBreak/>
        <w:t>audiences.</w:t>
      </w:r>
      <w:r>
        <w:rPr>
          <w:sz w:val="20"/>
          <w:szCs w:val="20"/>
          <w:vertAlign w:val="superscript"/>
        </w:rPr>
        <w:footnoteReference w:id="9"/>
      </w:r>
      <w:r>
        <w:rPr>
          <w:sz w:val="20"/>
          <w:szCs w:val="20"/>
        </w:rPr>
        <w:t xml:space="preserve"> Expanding protections to these groups has become relevant in the wake of the digital age, as journalism endeavors become more accessible to individuals and independent groups worldwide. It can be observed, especially in the wake of the COVID-19 Pandemic, that independent media helped resist political or the private interests of companies, advertisers, or other specific groups.</w:t>
      </w:r>
      <w:r>
        <w:rPr>
          <w:sz w:val="20"/>
          <w:szCs w:val="20"/>
          <w:vertAlign w:val="superscript"/>
        </w:rPr>
        <w:footnoteReference w:id="10"/>
      </w:r>
      <w:r>
        <w:rPr>
          <w:sz w:val="20"/>
          <w:szCs w:val="20"/>
        </w:rPr>
        <w:t xml:space="preserve"> As the media landscape develops, the UN has begun placing more of an emphasis on the broad range of what journalistic freedom looks like, especially in an era of global digital connection and influence.</w:t>
      </w:r>
    </w:p>
    <w:p w14:paraId="5169933C" w14:textId="77777777" w:rsidR="00B65F05" w:rsidRDefault="00000000">
      <w:pPr>
        <w:spacing w:line="240" w:lineRule="auto"/>
        <w:ind w:firstLine="720"/>
        <w:rPr>
          <w:sz w:val="20"/>
          <w:szCs w:val="20"/>
        </w:rPr>
      </w:pPr>
      <w:r>
        <w:rPr>
          <w:sz w:val="20"/>
          <w:szCs w:val="20"/>
        </w:rPr>
        <w:t>The emergence of digital technology and widespread broadband internet access– often referred to as the “digital revolution”- has had a tremendous implication on journalism and society as a whole. To reconcile the societal transformations brought on by the digital revolution, including its threats and opportunities, the UN, in conjunction with the International Telecommunication Union (ITU), sponsored the two-phased World Summit on the Information Society (WSIS). During the second phase in 2005, the Internet Governance Forum (IGF) was formed to discuss relevant public policy issues related to the security, stability, and development of the Internet.</w:t>
      </w:r>
      <w:r>
        <w:rPr>
          <w:sz w:val="20"/>
          <w:szCs w:val="20"/>
          <w:vertAlign w:val="superscript"/>
        </w:rPr>
        <w:footnoteReference w:id="11"/>
      </w:r>
      <w:r>
        <w:rPr>
          <w:sz w:val="20"/>
          <w:szCs w:val="20"/>
        </w:rPr>
        <w:t xml:space="preserve"> During the inaugural meeting, four main themes which emphasized free flow of information, security and trust, diversity, and connectivity were proposed to guide the IGF’s future priorities.</w:t>
      </w:r>
      <w:r>
        <w:rPr>
          <w:sz w:val="20"/>
          <w:szCs w:val="20"/>
          <w:vertAlign w:val="superscript"/>
        </w:rPr>
        <w:footnoteReference w:id="12"/>
      </w:r>
      <w:r>
        <w:rPr>
          <w:sz w:val="20"/>
          <w:szCs w:val="20"/>
        </w:rPr>
        <w:t xml:space="preserve"> In 2010, the Council Working Group on International Internet-related Public Policy Issues (CWG-Internet) was established to invite stakeholders and Member States for consultations regarding civil society’s interactions with the Internet. These ideas have further extended into journalism and international freedom of expressions.  Disinformation and misinformation have serious consequences on information integrity, including the proliferation of false or misleading information at unprecedented rates in information ecosystems.</w:t>
      </w:r>
      <w:r>
        <w:rPr>
          <w:sz w:val="20"/>
          <w:szCs w:val="20"/>
          <w:vertAlign w:val="superscript"/>
        </w:rPr>
        <w:footnoteReference w:id="13"/>
      </w:r>
      <w:r>
        <w:rPr>
          <w:sz w:val="20"/>
          <w:szCs w:val="20"/>
        </w:rPr>
        <w:t xml:space="preserve"> These emergent threats to journalistic integrity are further exacerbated by the accelerated development of AI, hampering human rights, peace, and sustainable development.</w:t>
      </w:r>
      <w:r>
        <w:rPr>
          <w:sz w:val="20"/>
          <w:szCs w:val="20"/>
          <w:vertAlign w:val="superscript"/>
        </w:rPr>
        <w:footnoteReference w:id="14"/>
      </w:r>
    </w:p>
    <w:p w14:paraId="5A424634" w14:textId="77777777" w:rsidR="00B65F05" w:rsidRDefault="00000000">
      <w:pPr>
        <w:spacing w:line="240" w:lineRule="auto"/>
        <w:ind w:firstLine="720"/>
        <w:rPr>
          <w:sz w:val="20"/>
          <w:szCs w:val="20"/>
        </w:rPr>
      </w:pPr>
      <w:r>
        <w:rPr>
          <w:sz w:val="20"/>
          <w:szCs w:val="20"/>
        </w:rPr>
        <w:t>As early as the 1990s, developed Member States with largely accessible DPI saw the first digital media outlets emerge and expand over the course of the next decade.</w:t>
      </w:r>
      <w:r>
        <w:rPr>
          <w:sz w:val="20"/>
          <w:szCs w:val="20"/>
          <w:vertAlign w:val="superscript"/>
        </w:rPr>
        <w:footnoteReference w:id="15"/>
      </w:r>
      <w:r>
        <w:rPr>
          <w:sz w:val="20"/>
          <w:szCs w:val="20"/>
        </w:rPr>
        <w:t xml:space="preserve"> The popularity of digital news media allowed for the creation and expansion of independent and international newsrooms to provide alternative local, national, and global perspectives, increasing the democratization of information.</w:t>
      </w:r>
      <w:r>
        <w:rPr>
          <w:sz w:val="20"/>
          <w:szCs w:val="20"/>
          <w:vertAlign w:val="superscript"/>
        </w:rPr>
        <w:footnoteReference w:id="16"/>
      </w:r>
      <w:r>
        <w:rPr>
          <w:sz w:val="20"/>
          <w:szCs w:val="20"/>
        </w:rPr>
        <w:t xml:space="preserve"> However, the spread of digital advancement concentrated in select regions, both within and between Member States, is heavily impacted by socioeconomic factors and infrastructural capacity, leading to a digital divide. The UN Human Settlements </w:t>
      </w:r>
      <w:proofErr w:type="spellStart"/>
      <w:r>
        <w:rPr>
          <w:sz w:val="20"/>
          <w:szCs w:val="20"/>
        </w:rPr>
        <w:t>Programme</w:t>
      </w:r>
      <w:proofErr w:type="spellEnd"/>
      <w:r>
        <w:rPr>
          <w:sz w:val="20"/>
          <w:szCs w:val="20"/>
        </w:rPr>
        <w:t xml:space="preserve"> recognizes the digital divide as a gap between those with access to internet connectivity and digital literacy skills and those without.</w:t>
      </w:r>
      <w:r>
        <w:rPr>
          <w:sz w:val="20"/>
          <w:szCs w:val="20"/>
          <w:vertAlign w:val="superscript"/>
        </w:rPr>
        <w:footnoteReference w:id="17"/>
      </w:r>
      <w:r>
        <w:rPr>
          <w:sz w:val="20"/>
          <w:szCs w:val="20"/>
        </w:rPr>
        <w:t xml:space="preserve"> Only 44% of people have internet access in developing Member States, severely impacting their ability to interact with digital service offerings, including digital journalism in an era.</w:t>
      </w:r>
      <w:r>
        <w:rPr>
          <w:sz w:val="20"/>
          <w:szCs w:val="20"/>
          <w:vertAlign w:val="superscript"/>
        </w:rPr>
        <w:footnoteReference w:id="18"/>
      </w:r>
      <w:r>
        <w:rPr>
          <w:sz w:val="20"/>
          <w:szCs w:val="20"/>
        </w:rPr>
        <w:t xml:space="preserve"> Furthermore, more than 60% of individuals from reported data were able to illustrate their ability to perform “basic” information communication technology skills, highlighting the severe lack of digital literacy awareness when it comes to online media consumption.</w:t>
      </w:r>
      <w:r>
        <w:rPr>
          <w:sz w:val="20"/>
          <w:szCs w:val="20"/>
          <w:vertAlign w:val="superscript"/>
        </w:rPr>
        <w:footnoteReference w:id="19"/>
      </w:r>
      <w:r>
        <w:rPr>
          <w:sz w:val="20"/>
          <w:szCs w:val="20"/>
        </w:rPr>
        <w:t xml:space="preserve"> With the rise of misinformation, digital literacy has become more important than ever and is key to protecting information integrity and achieving the Sustainable Development Goals.</w:t>
      </w:r>
      <w:r>
        <w:rPr>
          <w:sz w:val="20"/>
          <w:szCs w:val="20"/>
          <w:vertAlign w:val="superscript"/>
        </w:rPr>
        <w:footnoteReference w:id="20"/>
      </w:r>
    </w:p>
    <w:p w14:paraId="3B8C17D3" w14:textId="77777777" w:rsidR="00B65F05" w:rsidRDefault="00B65F05">
      <w:pPr>
        <w:spacing w:line="240" w:lineRule="auto"/>
        <w:ind w:firstLine="720"/>
        <w:rPr>
          <w:sz w:val="20"/>
          <w:szCs w:val="20"/>
        </w:rPr>
      </w:pPr>
    </w:p>
    <w:p w14:paraId="087AD8D1" w14:textId="77777777" w:rsidR="00B65F05" w:rsidRDefault="00000000">
      <w:pPr>
        <w:pStyle w:val="Heading2"/>
        <w:spacing w:line="240" w:lineRule="auto"/>
      </w:pPr>
      <w:bookmarkStart w:id="2" w:name="_heading=h.ueo4axycow6h" w:colFirst="0" w:colLast="0"/>
      <w:bookmarkEnd w:id="2"/>
      <w:r>
        <w:t>Current Situation</w:t>
      </w:r>
    </w:p>
    <w:p w14:paraId="6BDC7143" w14:textId="77777777" w:rsidR="00B65F05" w:rsidRDefault="00000000">
      <w:pPr>
        <w:spacing w:line="240" w:lineRule="auto"/>
        <w:ind w:firstLine="720"/>
        <w:rPr>
          <w:sz w:val="20"/>
          <w:szCs w:val="20"/>
        </w:rPr>
      </w:pPr>
      <w:r>
        <w:rPr>
          <w:sz w:val="20"/>
          <w:szCs w:val="20"/>
        </w:rPr>
        <w:t>Global cooperation to safeguard journalism and secure the digital realm remains of high importance to the UN, especially as media landscapes change and rapid technological development transforms how governments and individuals interact. With the rising popularity of artificial intelligence (AI) pervading the Internet, expanding measures to prevent the misuse of these emerging technologies is paramount to maintaining the integrity of information shared around the globe.</w:t>
      </w:r>
      <w:r>
        <w:rPr>
          <w:sz w:val="20"/>
          <w:szCs w:val="20"/>
          <w:vertAlign w:val="superscript"/>
        </w:rPr>
        <w:footnoteReference w:id="21"/>
      </w:r>
      <w:r>
        <w:rPr>
          <w:sz w:val="20"/>
          <w:szCs w:val="20"/>
        </w:rPr>
        <w:t xml:space="preserve"> In response to the rapid rise of AI, the United Nations Educational, Scientific, and Cultural Organization (UNESCO) produced the Recommendation on the Ethics of Artificial Intelligence in 2021. These standards of AI ethics were the first of their kind and seek a humanist approach to AI governance and its application, such that biases are minimized and information integrity is maintained.</w:t>
      </w:r>
      <w:r>
        <w:rPr>
          <w:sz w:val="20"/>
          <w:szCs w:val="20"/>
          <w:vertAlign w:val="superscript"/>
        </w:rPr>
        <w:footnoteReference w:id="22"/>
      </w:r>
      <w:r>
        <w:rPr>
          <w:sz w:val="20"/>
          <w:szCs w:val="20"/>
        </w:rPr>
        <w:t xml:space="preserve"> The risks of AI, especially large-language models, include its potential to produce false or misleading information that might be used to promote biases or incite hate. This AI-enhanced creation and dissemination of information poses a risk to security and transparency in the press, a concept that must not go unnoticed by policy-makers.</w:t>
      </w:r>
      <w:r>
        <w:rPr>
          <w:sz w:val="20"/>
          <w:szCs w:val="20"/>
          <w:vertAlign w:val="superscript"/>
        </w:rPr>
        <w:footnoteReference w:id="23"/>
      </w:r>
      <w:r>
        <w:rPr>
          <w:sz w:val="20"/>
          <w:szCs w:val="20"/>
        </w:rPr>
        <w:t xml:space="preserve"> </w:t>
      </w:r>
    </w:p>
    <w:p w14:paraId="02F1FF0B" w14:textId="77777777" w:rsidR="00B65F05" w:rsidRDefault="00000000">
      <w:pPr>
        <w:spacing w:line="240" w:lineRule="auto"/>
        <w:ind w:firstLine="720"/>
        <w:rPr>
          <w:sz w:val="20"/>
          <w:szCs w:val="20"/>
        </w:rPr>
      </w:pPr>
      <w:r>
        <w:rPr>
          <w:sz w:val="20"/>
          <w:szCs w:val="20"/>
        </w:rPr>
        <w:t>In September 2024, the UN General Assembly invited world leaders and stakeholders to adopt the Global Digital Compact, a comprehensive framework for global collaboration regarding securing and developing AI and similar widely-accessible digital technologies.</w:t>
      </w:r>
      <w:r>
        <w:rPr>
          <w:sz w:val="20"/>
          <w:szCs w:val="20"/>
          <w:vertAlign w:val="superscript"/>
        </w:rPr>
        <w:footnoteReference w:id="24"/>
      </w:r>
      <w:r>
        <w:rPr>
          <w:sz w:val="20"/>
          <w:szCs w:val="20"/>
        </w:rPr>
        <w:t xml:space="preserve"> The Compact addresses the complex implications imposed on human rights and development imposed by AI, and includes a commitment to securing and developing inclusive user-centered DPI for a variety of contexts.</w:t>
      </w:r>
      <w:r>
        <w:rPr>
          <w:sz w:val="20"/>
          <w:szCs w:val="20"/>
          <w:vertAlign w:val="superscript"/>
        </w:rPr>
        <w:footnoteReference w:id="25"/>
      </w:r>
      <w:r>
        <w:rPr>
          <w:sz w:val="20"/>
          <w:szCs w:val="20"/>
        </w:rPr>
        <w:t xml:space="preserve"> As AI models develop the ability to fabricate images and videos that are increasingly difficult to distinguish from reality, the Compact resigns the need to strengthen legal and policy frameworks to account for technology’s role in generating misleading or intentionally harmful information.</w:t>
      </w:r>
      <w:r>
        <w:rPr>
          <w:sz w:val="20"/>
          <w:szCs w:val="20"/>
          <w:vertAlign w:val="superscript"/>
        </w:rPr>
        <w:footnoteReference w:id="26"/>
      </w:r>
      <w:r>
        <w:rPr>
          <w:sz w:val="20"/>
          <w:szCs w:val="20"/>
        </w:rPr>
        <w:t xml:space="preserve"> The difficulty comes with balancing content moderation and the protection of journalistic integrity.  Following the Compact, the UN Department of Global Communications published the Global Principles for Information Integrity (Global Principles) which represents best practices and responsibilities of governments and NGOs to uphold global information flows in the tech sector. Grounded in international law, the Global Principles include an obligation to increase societal trust and resilience through transparency and accuracy, encourage sustainable business models, public empowerment, and a protection of independent, free, and pluralistic media.</w:t>
      </w:r>
      <w:r>
        <w:rPr>
          <w:sz w:val="20"/>
          <w:szCs w:val="20"/>
          <w:vertAlign w:val="superscript"/>
        </w:rPr>
        <w:footnoteReference w:id="27"/>
      </w:r>
      <w:r>
        <w:rPr>
          <w:sz w:val="20"/>
          <w:szCs w:val="20"/>
        </w:rPr>
        <w:t xml:space="preserve"> </w:t>
      </w:r>
    </w:p>
    <w:p w14:paraId="18D20B76" w14:textId="77777777" w:rsidR="00B65F05" w:rsidRDefault="00000000">
      <w:pPr>
        <w:spacing w:line="240" w:lineRule="auto"/>
        <w:ind w:firstLine="720"/>
        <w:rPr>
          <w:sz w:val="20"/>
          <w:szCs w:val="20"/>
        </w:rPr>
      </w:pPr>
      <w:r>
        <w:rPr>
          <w:sz w:val="20"/>
          <w:szCs w:val="20"/>
        </w:rPr>
        <w:t>Global and regional newsrooms continue to transform with the development and integration of emerging digital technologies in the press. The digital landscape is responsible for changing the business models and professional practices of journalists and media outlets worldwide, and in some instances is the cause for the decline of information integrity and deconstruction of media ethics.</w:t>
      </w:r>
      <w:r>
        <w:rPr>
          <w:sz w:val="20"/>
          <w:szCs w:val="20"/>
          <w:vertAlign w:val="superscript"/>
        </w:rPr>
        <w:footnoteReference w:id="28"/>
      </w:r>
      <w:r>
        <w:rPr>
          <w:sz w:val="20"/>
          <w:szCs w:val="20"/>
        </w:rPr>
        <w:t xml:space="preserve"> Resolution A/RES/78/213 passed by the General Assembly in December 2023 makes further calls for Member States to take responsibility and work with relevant stakeholders and NGOs to develop adequate guidance and legislation to counter the amplification of disinformation and other harmful speech.</w:t>
      </w:r>
      <w:r>
        <w:rPr>
          <w:sz w:val="20"/>
          <w:szCs w:val="20"/>
          <w:vertAlign w:val="superscript"/>
        </w:rPr>
        <w:footnoteReference w:id="29"/>
      </w:r>
      <w:r>
        <w:rPr>
          <w:sz w:val="20"/>
          <w:szCs w:val="20"/>
        </w:rPr>
        <w:t xml:space="preserve"> Additionally, the centralization of information technology and development in select Member States may show a preference for bias and perspective for actors in those regions, which may stifle journalistic pluralism.</w:t>
      </w:r>
      <w:r>
        <w:rPr>
          <w:sz w:val="20"/>
          <w:szCs w:val="20"/>
          <w:vertAlign w:val="superscript"/>
        </w:rPr>
        <w:footnoteReference w:id="30"/>
      </w:r>
      <w:r>
        <w:rPr>
          <w:sz w:val="20"/>
          <w:szCs w:val="20"/>
        </w:rPr>
        <w:t xml:space="preserve"> Building off of previous resolutions, UNESCO’s Guidelines for the Governance of Digital </w:t>
      </w:r>
      <w:r>
        <w:rPr>
          <w:sz w:val="20"/>
          <w:szCs w:val="20"/>
        </w:rPr>
        <w:lastRenderedPageBreak/>
        <w:t>Platforms released in 2023 seek to safeguard freedom of expression in digital platforms while eliminating unlawful and harmful speech. The Guidelines promote transparency and uphold the importance of free journalism by ensuring equal digital access, public participation, and non-discrimination.</w:t>
      </w:r>
      <w:r>
        <w:rPr>
          <w:sz w:val="20"/>
          <w:szCs w:val="20"/>
          <w:vertAlign w:val="superscript"/>
        </w:rPr>
        <w:footnoteReference w:id="31"/>
      </w:r>
      <w:r>
        <w:rPr>
          <w:sz w:val="20"/>
          <w:szCs w:val="20"/>
        </w:rPr>
        <w:t xml:space="preserve"> Specifically, the Guidelines suggest Member States disclose all information regarding the removal of information on digital platforms if it is in non-compliance with Articles 19 and 20 of the ICCPR.</w:t>
      </w:r>
      <w:r>
        <w:rPr>
          <w:sz w:val="20"/>
          <w:szCs w:val="20"/>
          <w:vertAlign w:val="superscript"/>
        </w:rPr>
        <w:footnoteReference w:id="32"/>
      </w:r>
      <w:r>
        <w:rPr>
          <w:sz w:val="20"/>
          <w:szCs w:val="20"/>
        </w:rPr>
        <w:t xml:space="preserve"> </w:t>
      </w:r>
    </w:p>
    <w:p w14:paraId="4D0E65C4" w14:textId="77777777" w:rsidR="00B65F05" w:rsidRDefault="00B65F05">
      <w:pPr>
        <w:spacing w:line="240" w:lineRule="auto"/>
        <w:ind w:firstLine="720"/>
        <w:rPr>
          <w:sz w:val="20"/>
          <w:szCs w:val="20"/>
        </w:rPr>
      </w:pPr>
    </w:p>
    <w:p w14:paraId="3C62EE04" w14:textId="77777777" w:rsidR="00B65F05" w:rsidRDefault="00000000">
      <w:pPr>
        <w:pStyle w:val="Heading2"/>
        <w:spacing w:line="240" w:lineRule="auto"/>
      </w:pPr>
      <w:bookmarkStart w:id="3" w:name="_heading=h.lmmiyq2ryi9u" w:colFirst="0" w:colLast="0"/>
      <w:bookmarkEnd w:id="3"/>
      <w:r>
        <w:t>Conclusion</w:t>
      </w:r>
    </w:p>
    <w:p w14:paraId="3A51D2D0" w14:textId="77777777" w:rsidR="00B65F05" w:rsidRDefault="00000000">
      <w:pPr>
        <w:spacing w:line="240" w:lineRule="auto"/>
        <w:rPr>
          <w:sz w:val="20"/>
          <w:szCs w:val="20"/>
        </w:rPr>
      </w:pPr>
      <w:r>
        <w:tab/>
      </w:r>
      <w:r>
        <w:rPr>
          <w:sz w:val="20"/>
          <w:szCs w:val="20"/>
        </w:rPr>
        <w:t>The accessibility and abundance of journalism and news media in digital form has transformed the way information is shared worldwide. Journalistic integrity remains a necessity to international diplomacy and the achievement of the SDGs. Despite the tremendous efforts made to further the development and safety of online spaces for journalists, there is still much work to be done through the UN and its partners to ensure information in the press remains credible and reliable. The digital divide continues to affect the dissemination of information and ability for journalism to remain diverse, free, and democratized. Gaps in global AI governance must be addressed in order to ensure cooperative, comprehensive strategies to protect press freedom.</w:t>
      </w:r>
      <w:r>
        <w:rPr>
          <w:sz w:val="20"/>
          <w:szCs w:val="20"/>
          <w:vertAlign w:val="superscript"/>
        </w:rPr>
        <w:footnoteReference w:id="33"/>
      </w:r>
    </w:p>
    <w:p w14:paraId="70115AB7" w14:textId="77777777" w:rsidR="00B65F05" w:rsidRDefault="00B65F05">
      <w:pPr>
        <w:spacing w:line="240" w:lineRule="auto"/>
        <w:rPr>
          <w:sz w:val="20"/>
          <w:szCs w:val="20"/>
        </w:rPr>
      </w:pPr>
    </w:p>
    <w:p w14:paraId="64D2008F" w14:textId="77777777" w:rsidR="00B65F05" w:rsidRDefault="00000000">
      <w:pPr>
        <w:pStyle w:val="Heading2"/>
        <w:spacing w:line="240" w:lineRule="auto"/>
        <w:rPr>
          <w:b w:val="0"/>
          <w:bCs w:val="0"/>
          <w:i w:val="0"/>
          <w:iCs w:val="0"/>
        </w:rPr>
      </w:pPr>
      <w:bookmarkStart w:id="4" w:name="_heading=h.s6say9rwdenj" w:colFirst="0" w:colLast="0"/>
      <w:bookmarkEnd w:id="4"/>
      <w:r>
        <w:t>Committee Directive</w:t>
      </w:r>
    </w:p>
    <w:p w14:paraId="676C654F" w14:textId="77777777" w:rsidR="00B65F05" w:rsidRDefault="00000000">
      <w:pPr>
        <w:spacing w:line="240" w:lineRule="auto"/>
        <w:rPr>
          <w:sz w:val="20"/>
          <w:szCs w:val="20"/>
        </w:rPr>
        <w:sectPr w:rsidR="00B65F05">
          <w:pgSz w:w="12240" w:h="15840"/>
          <w:pgMar w:top="1440" w:right="1440" w:bottom="1440" w:left="1440" w:header="720" w:footer="720" w:gutter="0"/>
          <w:cols w:space="720"/>
        </w:sectPr>
      </w:pPr>
      <w:r>
        <w:tab/>
      </w:r>
      <w:r>
        <w:rPr>
          <w:sz w:val="20"/>
          <w:szCs w:val="20"/>
        </w:rPr>
        <w:t>Delegates should evaluate the extent of how digital technologies are affecting information integrity in regard to international journalism. Delegates should consider how the digital landscape impacts the dispersal of information and news media, especially in regard to political conflict. DPI accessibility and transparency should also be taken into account when developing solutions on a regional and global scale. Resolutions may also take into account existing global frameworks related to protecting press freedom and information integrity. Further evaluations may be made regarding the extent and scope of current global policy on generative AI and how it affects the press, especially with regard to trends in misinformation and disinformation.</w:t>
      </w:r>
    </w:p>
    <w:p w14:paraId="44776F1A" w14:textId="77777777" w:rsidR="00B65F05" w:rsidRDefault="00000000">
      <w:pPr>
        <w:numPr>
          <w:ilvl w:val="0"/>
          <w:numId w:val="2"/>
        </w:numPr>
        <w:spacing w:line="240" w:lineRule="auto"/>
        <w:rPr>
          <w:b/>
          <w:bCs/>
          <w:sz w:val="24"/>
          <w:szCs w:val="24"/>
        </w:rPr>
      </w:pPr>
      <w:r>
        <w:rPr>
          <w:b/>
          <w:bCs/>
          <w:sz w:val="20"/>
          <w:szCs w:val="20"/>
        </w:rPr>
        <w:lastRenderedPageBreak/>
        <w:t>Addressing Issues of Overfishing in International Waters</w:t>
      </w:r>
    </w:p>
    <w:p w14:paraId="34EE0566" w14:textId="77777777" w:rsidR="00B65F05" w:rsidRDefault="00B65F05">
      <w:pPr>
        <w:spacing w:line="240" w:lineRule="auto"/>
        <w:ind w:left="720"/>
        <w:rPr>
          <w:b/>
          <w:bCs/>
          <w:sz w:val="20"/>
          <w:szCs w:val="20"/>
        </w:rPr>
      </w:pPr>
    </w:p>
    <w:p w14:paraId="2A51E270" w14:textId="77777777" w:rsidR="00B65F05" w:rsidRDefault="00000000">
      <w:pPr>
        <w:pStyle w:val="Heading2"/>
        <w:spacing w:line="240" w:lineRule="auto"/>
      </w:pPr>
      <w:bookmarkStart w:id="5" w:name="_heading=h.69dnviqmy0v2" w:colFirst="0" w:colLast="0"/>
      <w:bookmarkEnd w:id="5"/>
      <w:r>
        <w:t>Introduction</w:t>
      </w:r>
    </w:p>
    <w:p w14:paraId="2268A800" w14:textId="77777777" w:rsidR="00B65F05" w:rsidRDefault="00000000">
      <w:pPr>
        <w:spacing w:line="240" w:lineRule="auto"/>
        <w:rPr>
          <w:sz w:val="20"/>
          <w:szCs w:val="20"/>
        </w:rPr>
      </w:pPr>
      <w:r>
        <w:tab/>
      </w:r>
      <w:r>
        <w:rPr>
          <w:sz w:val="20"/>
          <w:szCs w:val="20"/>
        </w:rPr>
        <w:t>Overfishing is the removal of a species of fish from a body of water at a rate faster than they can naturally replenish its population</w:t>
      </w:r>
      <w:r>
        <w:rPr>
          <w:sz w:val="20"/>
          <w:szCs w:val="20"/>
          <w:vertAlign w:val="superscript"/>
        </w:rPr>
        <w:footnoteReference w:id="34"/>
      </w:r>
      <w:r>
        <w:rPr>
          <w:sz w:val="20"/>
          <w:szCs w:val="20"/>
        </w:rPr>
        <w:t>. Over the years, overfishing leads to a plethora of issues including but not only: destruction of ecosystems, unnatural selection done by humans, lowered biodiversity, and endangered species. According to the World Wildlife Foundation and the Food and Agriculture Organization (FAO) of the UN, the number of overfished stocks globally has tripled with one-third of the world’s assessed fisheries pushed beyond their biological limits.</w:t>
      </w:r>
      <w:r>
        <w:rPr>
          <w:sz w:val="20"/>
          <w:szCs w:val="20"/>
          <w:vertAlign w:val="superscript"/>
        </w:rPr>
        <w:footnoteReference w:id="35"/>
      </w:r>
      <w:r>
        <w:rPr>
          <w:sz w:val="20"/>
          <w:szCs w:val="20"/>
        </w:rPr>
        <w:t xml:space="preserve"> Overfishing is exacerbated by bycatch, the capture of unwanted or non-targeted sea life while fishing, which harms and threatens all species of marine life beyond fish. Along with bycatch, overfishing is often also worsened by illegal fishing. Illegal systemic fishing impacts make up some of the worst ocean impacts. It is estimated that up to 30% of high-value catch is from pervasive illegal fishing with an estimated $36.4 billion of profits made by illegal, unreported, and unregulated fishing net criminals.</w:t>
      </w:r>
      <w:r>
        <w:rPr>
          <w:sz w:val="20"/>
          <w:szCs w:val="20"/>
          <w:vertAlign w:val="superscript"/>
        </w:rPr>
        <w:footnoteReference w:id="36"/>
      </w:r>
      <w:r>
        <w:rPr>
          <w:sz w:val="20"/>
          <w:szCs w:val="20"/>
        </w:rPr>
        <w:t xml:space="preserve"> Along with the damage to marine life, billions of people will feel the effects too, as billions rely on fishing as a source of food and income. Illegal catches are moved through hard to trace supply chains and are often difficult to track from the consumer back to the catch with imports controlling much of the illegal trade. The lack of traceability is only degrading with a spread of new fishing innovations. Fish ranks as one of the highest traded food commodities and generates a $362 billion global industry.</w:t>
      </w:r>
      <w:r>
        <w:rPr>
          <w:sz w:val="20"/>
          <w:szCs w:val="20"/>
          <w:vertAlign w:val="superscript"/>
        </w:rPr>
        <w:footnoteReference w:id="37"/>
      </w:r>
      <w:r>
        <w:rPr>
          <w:sz w:val="20"/>
          <w:szCs w:val="20"/>
        </w:rPr>
        <w:t xml:space="preserve"> Millions in largely developing coastal communities rely on fish and the fishing industry for their livelihoods. When fish stocks decrease due to the long and short term effects of overfishing so will coastal jobs and economies. High demand continues to increase and drives overexploitation and environmental degradation only further exacerbating this destructive cycle. These factors contribute to the increasing importance and gravity of issues experienced by all Member and Non-Member States. </w:t>
      </w:r>
    </w:p>
    <w:p w14:paraId="2401BC27" w14:textId="77777777" w:rsidR="00B65F05" w:rsidRDefault="00B65F05">
      <w:pPr>
        <w:spacing w:line="240" w:lineRule="auto"/>
        <w:rPr>
          <w:sz w:val="20"/>
          <w:szCs w:val="20"/>
        </w:rPr>
      </w:pPr>
    </w:p>
    <w:p w14:paraId="719BE7D3" w14:textId="77777777" w:rsidR="00B65F05" w:rsidRDefault="00000000">
      <w:pPr>
        <w:pStyle w:val="Heading2"/>
        <w:spacing w:line="240" w:lineRule="auto"/>
        <w:rPr>
          <w:sz w:val="20"/>
          <w:szCs w:val="20"/>
        </w:rPr>
      </w:pPr>
      <w:bookmarkStart w:id="6" w:name="_heading=h.ttyfpr3vose5" w:colFirst="0" w:colLast="0"/>
      <w:bookmarkEnd w:id="6"/>
      <w:r>
        <w:t>History</w:t>
      </w:r>
    </w:p>
    <w:p w14:paraId="05198AAF" w14:textId="77777777" w:rsidR="00B65F05" w:rsidRDefault="00000000">
      <w:pPr>
        <w:spacing w:line="240" w:lineRule="auto"/>
        <w:ind w:firstLine="720"/>
        <w:rPr>
          <w:sz w:val="20"/>
          <w:szCs w:val="20"/>
        </w:rPr>
      </w:pPr>
      <w:r>
        <w:rPr>
          <w:sz w:val="20"/>
          <w:szCs w:val="20"/>
        </w:rPr>
        <w:t>Post WWII, around the 1950s technological advancements such as advanced fishing gear, powered trawlers and sonar allowed for improved fishing efficiency. With fishing fleets expanding rapidly which allowed for large scale fish capture along with the growing demand for seafood there became a noticeable impact on marine ecosystems and fish populations that the UN took notice of.</w:t>
      </w:r>
      <w:r>
        <w:rPr>
          <w:sz w:val="20"/>
          <w:szCs w:val="20"/>
          <w:vertAlign w:val="superscript"/>
        </w:rPr>
        <w:footnoteReference w:id="38"/>
      </w:r>
      <w:r>
        <w:rPr>
          <w:sz w:val="20"/>
          <w:szCs w:val="20"/>
        </w:rPr>
        <w:t xml:space="preserve">  Over time, regulation decreased as modernity helped  regulators but helped those escaping regulation more. In 1982, the United Nations Convention on the Law of the Sea (UNCLOS) was adopted and invoked in 1994.</w:t>
      </w:r>
      <w:r>
        <w:rPr>
          <w:sz w:val="20"/>
          <w:szCs w:val="20"/>
          <w:vertAlign w:val="superscript"/>
        </w:rPr>
        <w:footnoteReference w:id="39"/>
      </w:r>
      <w:r>
        <w:rPr>
          <w:sz w:val="20"/>
          <w:szCs w:val="20"/>
        </w:rPr>
        <w:t xml:space="preserve"> The UNCLOS establishes rules for the oceans law and order while laying down rules to preserve Member States sovereignty, Member State’s fishing cultures, and jurisdiction in maritime spaces and management of their resources. UNCLOS also sets up a framework for future development of specific infrastructures in maritime areas while including several programs by many international organizations such as International Maritime Organizations. Around 4 million fishing vessels are out at sea with several constantly increasing capacity and tools to increase efficiency in fishing. As demand for fishing grows, the likelihood of collapse from the sustainable system of fishing increases. Inadequate government cooperation and ability in managing, regulating, and controlling fisheries and trade contribute to the gravity of the consequences, especially in developing Member States and high seas. The UN 2030 Agenda for Sustainable Development Goals (SDG’s) </w:t>
      </w:r>
      <w:r>
        <w:rPr>
          <w:sz w:val="20"/>
          <w:szCs w:val="20"/>
        </w:rPr>
        <w:lastRenderedPageBreak/>
        <w:t>established in 2015 has called for an end to harmful subsidies.</w:t>
      </w:r>
      <w:r>
        <w:rPr>
          <w:sz w:val="20"/>
          <w:szCs w:val="20"/>
          <w:vertAlign w:val="superscript"/>
        </w:rPr>
        <w:footnoteReference w:id="40"/>
      </w:r>
      <w:r>
        <w:rPr>
          <w:sz w:val="20"/>
          <w:szCs w:val="20"/>
        </w:rPr>
        <w:t xml:space="preserve"> The UN’s SDG 14: life below water has established a goal to conserve and sustainably use the oceans, seas and marine resources for sustainable development. The target of this goal is to reduce marine pollution, acidification, and increase the economic benefits from sustainable use of marine resources. Historically around eight Member or Non-Member States produce 95.5% of all aquatic food in the Black Sea Region with ten Member or Non-Member States producing 89.8% of the world’s total aqua food.</w:t>
      </w:r>
      <w:r>
        <w:rPr>
          <w:sz w:val="20"/>
          <w:szCs w:val="20"/>
          <w:vertAlign w:val="superscript"/>
        </w:rPr>
        <w:footnoteReference w:id="41"/>
      </w:r>
      <w:r>
        <w:rPr>
          <w:sz w:val="20"/>
          <w:szCs w:val="20"/>
        </w:rPr>
        <w:t xml:space="preserve"> The crisis of overfishing was temporarily lessened with the rise of fish farming. However, with the rise in demand for specific, typically larger-bodied, fish such as salmon who happen to be carnivorous, these fish farms ended up also contributing to the harm of marine life along with demand for more overfishing. Fish farms claim to be more sustainable overall but are often found to be less sustainable than industrial fishing methods. Rises in overfishing in areas such as the Indian Ocean have been linked to the demand for fishmeal which is fed to carnivorous farmed fish, raising further scrutiny of fish farming’s claims.</w:t>
      </w:r>
      <w:r>
        <w:rPr>
          <w:sz w:val="20"/>
          <w:szCs w:val="20"/>
          <w:vertAlign w:val="superscript"/>
        </w:rPr>
        <w:footnoteReference w:id="42"/>
      </w:r>
      <w:r>
        <w:rPr>
          <w:sz w:val="20"/>
          <w:szCs w:val="20"/>
        </w:rPr>
        <w:t xml:space="preserve"> </w:t>
      </w:r>
    </w:p>
    <w:p w14:paraId="3FEA06CF" w14:textId="77777777" w:rsidR="00B65F05" w:rsidRDefault="00B65F05">
      <w:pPr>
        <w:spacing w:line="240" w:lineRule="auto"/>
        <w:ind w:firstLine="720"/>
        <w:rPr>
          <w:sz w:val="20"/>
          <w:szCs w:val="20"/>
        </w:rPr>
      </w:pPr>
    </w:p>
    <w:p w14:paraId="101405A0" w14:textId="77777777" w:rsidR="00B65F05" w:rsidRDefault="00000000">
      <w:pPr>
        <w:pStyle w:val="Heading2"/>
        <w:spacing w:line="240" w:lineRule="auto"/>
        <w:rPr>
          <w:sz w:val="20"/>
          <w:szCs w:val="20"/>
        </w:rPr>
      </w:pPr>
      <w:bookmarkStart w:id="7" w:name="_heading=h.bl157ug4qdu5" w:colFirst="0" w:colLast="0"/>
      <w:bookmarkEnd w:id="7"/>
      <w:r>
        <w:t>Current Situation</w:t>
      </w:r>
    </w:p>
    <w:p w14:paraId="6B28771B" w14:textId="77777777" w:rsidR="00B65F05" w:rsidRDefault="00000000">
      <w:pPr>
        <w:spacing w:line="240" w:lineRule="auto"/>
        <w:ind w:firstLine="720"/>
        <w:rPr>
          <w:sz w:val="20"/>
          <w:szCs w:val="20"/>
        </w:rPr>
      </w:pPr>
      <w:r>
        <w:rPr>
          <w:sz w:val="20"/>
          <w:szCs w:val="20"/>
        </w:rPr>
        <w:t>As overfishing continues today, the economic security around fish has decreased with economic and job dependency on fish increasing. Today, subsidies often drive more overfishing leading to an undesired or worsened outcome. Subsequently, the worldwide fishing fleet is estimated to be up to two and a half times the capacity needed to catch what we need globally and sustainably. The UN 2030 Agenda for Sustainable Development Goals (SDG’s) has called for an end to harmful subsidies</w:t>
      </w:r>
      <w:r>
        <w:rPr>
          <w:sz w:val="20"/>
          <w:szCs w:val="20"/>
          <w:vertAlign w:val="superscript"/>
        </w:rPr>
        <w:footnoteReference w:id="43"/>
      </w:r>
      <w:r>
        <w:rPr>
          <w:sz w:val="20"/>
          <w:szCs w:val="20"/>
        </w:rPr>
        <w:t xml:space="preserve"> that may increase pollution, overfishing and exploitation of our seas. In the Black Sea, overfishing, while being addressed, dropped to the lowest rate over the past ten years. The FAO recognizes that despite the continued issues of fishery sustainability the low point should be celebrated as a historic milestone, taking note of the exponential increase in fish as a main source of food in the region.</w:t>
      </w:r>
      <w:r>
        <w:rPr>
          <w:sz w:val="20"/>
          <w:szCs w:val="20"/>
          <w:vertAlign w:val="superscript"/>
        </w:rPr>
        <w:footnoteReference w:id="44"/>
      </w:r>
      <w:r>
        <w:rPr>
          <w:sz w:val="20"/>
          <w:szCs w:val="20"/>
        </w:rPr>
        <w:t xml:space="preserve"> Even though increased fish is a milestone there have been changes in the shrimp populations in subtle ways due to warming waters. This is being monitored due to the significant effect shrimp have on fish ecosystems. Shrimp serve as a vital food source to some fish and also are voracious consumers of algae.</w:t>
      </w:r>
      <w:r>
        <w:rPr>
          <w:sz w:val="20"/>
          <w:szCs w:val="20"/>
          <w:vertAlign w:val="superscript"/>
        </w:rPr>
        <w:footnoteReference w:id="45"/>
      </w:r>
      <w:r>
        <w:rPr>
          <w:sz w:val="20"/>
          <w:szCs w:val="20"/>
        </w:rPr>
        <w:t xml:space="preserve"> Fish farms and their consequences are tied to overfishing and  have been examined with several Member and Non-Member States passing stricter regulatory laws and acknowledging the importance. Fish farming does, however, continue to raise the demand for overfishing, often to feed carnivorous species of fish that also have an increase in consumer interest. Consequently, the damages from bycatch to overall marine life endangered several protected species such as sharks. The bycatch issue has been addressed by several Member and Non-Member States but still frequently prevails as several fisheries still fall back and use older damaging options that produce high levels of bycatch, due to several factors such as cost, ease of preowned tools, and efficiency.</w:t>
      </w:r>
    </w:p>
    <w:p w14:paraId="0A6E388E" w14:textId="77777777" w:rsidR="00B65F05" w:rsidRDefault="00B65F05">
      <w:pPr>
        <w:spacing w:line="240" w:lineRule="auto"/>
        <w:ind w:firstLine="720"/>
        <w:rPr>
          <w:sz w:val="20"/>
          <w:szCs w:val="20"/>
        </w:rPr>
      </w:pPr>
    </w:p>
    <w:p w14:paraId="417C48B9" w14:textId="77777777" w:rsidR="00B65F05" w:rsidRDefault="00000000">
      <w:pPr>
        <w:pStyle w:val="Heading2"/>
        <w:spacing w:line="240" w:lineRule="auto"/>
      </w:pPr>
      <w:bookmarkStart w:id="8" w:name="_heading=h.jknb8fuuruzc" w:colFirst="0" w:colLast="0"/>
      <w:bookmarkEnd w:id="8"/>
      <w:r>
        <w:t>Conclusion</w:t>
      </w:r>
    </w:p>
    <w:p w14:paraId="57FEB055" w14:textId="77777777" w:rsidR="00B65F05" w:rsidRDefault="00000000">
      <w:pPr>
        <w:spacing w:line="240" w:lineRule="auto"/>
        <w:rPr>
          <w:sz w:val="20"/>
          <w:szCs w:val="20"/>
        </w:rPr>
      </w:pPr>
      <w:r>
        <w:rPr>
          <w:sz w:val="20"/>
          <w:szCs w:val="20"/>
        </w:rPr>
        <w:t xml:space="preserve">       The crisis of overfishing can have adverse effects not only on our marine life ecosystems such as destroying ecosystems, endangering species and lowering biodiversity but also the sustainability of Member States that rely on fishing not only for food but as a way to make capital. Overfishing puts the ocean and food security at a very large risk. Overfishing started to become a large issue post WWII with many technological advancements such as sonar and bigger powered boats and little to no regulation and a noticeable impact was had on marine ecosystems and fish populations. This led to the adoption of UNCLOS in 1982 to establish rules and regulations for the ocean and </w:t>
      </w:r>
      <w:r>
        <w:rPr>
          <w:sz w:val="20"/>
          <w:szCs w:val="20"/>
        </w:rPr>
        <w:lastRenderedPageBreak/>
        <w:t xml:space="preserve">preserve Member States sovereignty. Further steps were taken with the adoption of SDG 14: life below water which aims to conserve and sustainably use ocean, sea and marine resources. </w:t>
      </w:r>
    </w:p>
    <w:p w14:paraId="60BF7F86" w14:textId="77777777" w:rsidR="00B65F05" w:rsidRDefault="00B65F05">
      <w:pPr>
        <w:spacing w:line="240" w:lineRule="auto"/>
        <w:rPr>
          <w:sz w:val="20"/>
          <w:szCs w:val="20"/>
        </w:rPr>
      </w:pPr>
    </w:p>
    <w:p w14:paraId="2D8C1EEF" w14:textId="77777777" w:rsidR="00B65F05" w:rsidRDefault="00000000">
      <w:pPr>
        <w:pStyle w:val="Heading2"/>
        <w:spacing w:line="240" w:lineRule="auto"/>
        <w:rPr>
          <w:sz w:val="20"/>
          <w:szCs w:val="20"/>
        </w:rPr>
      </w:pPr>
      <w:bookmarkStart w:id="9" w:name="_heading=h.qdx0wonborj1" w:colFirst="0" w:colLast="0"/>
      <w:bookmarkEnd w:id="9"/>
      <w:r>
        <w:t>Committee Directive</w:t>
      </w:r>
    </w:p>
    <w:p w14:paraId="738B75D6" w14:textId="77777777" w:rsidR="00B65F05" w:rsidRDefault="00000000">
      <w:pPr>
        <w:spacing w:line="240" w:lineRule="auto"/>
        <w:rPr>
          <w:sz w:val="20"/>
          <w:szCs w:val="20"/>
        </w:rPr>
      </w:pPr>
      <w:r>
        <w:rPr>
          <w:sz w:val="20"/>
          <w:szCs w:val="20"/>
        </w:rPr>
        <w:tab/>
        <w:t>Delegates should remain vigilant of the long term effects of overfishing and how it is addressed while constructing solutions. It is heavily encouraged that delegates research their Member State’s position on the effects of overfishing, involvement, and past actions that have been taken to address overfishing in international waters. Delegates should be mindful of the gaps in speed of being affected, which groups may be disproportionately affected,  and of the balance between supporting fishing industry growth and supporting solutions dealing with overfishing. Delegates should also remain aware of the differences in infrastructure in the modern world. While drafting resolutions, delegates should keep their Member States past, present, and ongoing actions that are directly affecting the overfishing in international waters today in mind. Delegates should prioritize building upon pre-existing infrastructures rather than creating new bodies within the UN.</w:t>
      </w:r>
    </w:p>
    <w:sectPr w:rsidR="00B65F0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81309" w14:textId="77777777" w:rsidR="00434792" w:rsidRDefault="00434792">
      <w:pPr>
        <w:spacing w:line="240" w:lineRule="auto"/>
      </w:pPr>
      <w:r>
        <w:separator/>
      </w:r>
    </w:p>
  </w:endnote>
  <w:endnote w:type="continuationSeparator" w:id="0">
    <w:p w14:paraId="5AE6ECFE" w14:textId="77777777" w:rsidR="00434792" w:rsidRDefault="004347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2BDE242-3483-3E47-97F7-DA2746F6D4C9}"/>
    <w:embedBold r:id="rId2" w:fontKey="{20ABE1E1-3AC9-2D40-8224-DED5CFA8633F}"/>
    <w:embedItalic r:id="rId3" w:fontKey="{EB8D8F14-2B7F-DA43-B897-4176A73186D0}"/>
    <w:embedBoldItalic r:id="rId4" w:fontKey="{AD20C9E3-8B7C-9545-8439-5F65B4B13DA6}"/>
  </w:font>
  <w:font w:name="Arial">
    <w:panose1 w:val="020B0604020202020204"/>
    <w:charset w:val="00"/>
    <w:family w:val="swiss"/>
    <w:pitch w:val="variable"/>
    <w:sig w:usb0="E0002AFF" w:usb1="C0007843" w:usb2="00000009" w:usb3="00000000" w:csb0="000001FF" w:csb1="00000000"/>
    <w:embedRegular r:id="rId5" w:fontKey="{644F7CF1-CC4B-0A4B-82E9-225DF499531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6" w:fontKey="{3D3F5A9F-F401-3B46-BB46-5A87FEEC6412}"/>
  </w:font>
  <w:font w:name="Cambria">
    <w:panose1 w:val="02040503050406030204"/>
    <w:charset w:val="00"/>
    <w:family w:val="roman"/>
    <w:pitch w:val="variable"/>
    <w:sig w:usb0="E00006FF" w:usb1="420024FF" w:usb2="02000000" w:usb3="00000000" w:csb0="0000019F" w:csb1="00000000"/>
    <w:embedRegular r:id="rId7" w:fontKey="{88F8684F-B928-5049-9418-15A8E27535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ACC3B" w14:textId="77777777" w:rsidR="00B65F05" w:rsidRDefault="00B65F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CD469" w14:textId="77777777" w:rsidR="00434792" w:rsidRDefault="00434792">
      <w:pPr>
        <w:spacing w:line="240" w:lineRule="auto"/>
      </w:pPr>
      <w:r>
        <w:separator/>
      </w:r>
    </w:p>
  </w:footnote>
  <w:footnote w:type="continuationSeparator" w:id="0">
    <w:p w14:paraId="349CF24B" w14:textId="77777777" w:rsidR="00434792" w:rsidRDefault="00434792">
      <w:pPr>
        <w:spacing w:line="240" w:lineRule="auto"/>
      </w:pPr>
      <w:r>
        <w:continuationSeparator/>
      </w:r>
    </w:p>
  </w:footnote>
  <w:footnote w:id="1">
    <w:p w14:paraId="64D6DC65" w14:textId="77777777" w:rsidR="00B65F05" w:rsidRDefault="00000000">
      <w:pPr>
        <w:spacing w:line="240" w:lineRule="auto"/>
        <w:ind w:left="720" w:hanging="720"/>
        <w:rPr>
          <w:sz w:val="18"/>
          <w:szCs w:val="18"/>
        </w:rPr>
      </w:pPr>
      <w:r>
        <w:rPr>
          <w:vertAlign w:val="superscript"/>
        </w:rPr>
        <w:footnoteRef/>
      </w:r>
      <w:r>
        <w:rPr>
          <w:sz w:val="18"/>
          <w:szCs w:val="18"/>
        </w:rPr>
        <w:t xml:space="preserve"> United Nations Department of Economic and Social Affairs, </w:t>
      </w:r>
      <w:r>
        <w:rPr>
          <w:i/>
          <w:iCs/>
          <w:sz w:val="18"/>
          <w:szCs w:val="18"/>
        </w:rPr>
        <w:t>World Urbanization Prospects 2025</w:t>
      </w:r>
      <w:r>
        <w:rPr>
          <w:sz w:val="18"/>
          <w:szCs w:val="18"/>
        </w:rPr>
        <w:t>. Accessed December 2, 2025. https://population.un.org/wup/assets/Publications/undesa_pd_2024_key_messages_wup_2025.pdf</w:t>
      </w:r>
    </w:p>
  </w:footnote>
  <w:footnote w:id="2">
    <w:p w14:paraId="21D1EB15" w14:textId="77777777" w:rsidR="00B65F05" w:rsidRDefault="00000000">
      <w:pPr>
        <w:spacing w:line="240" w:lineRule="auto"/>
        <w:ind w:left="720" w:hanging="720"/>
        <w:rPr>
          <w:sz w:val="18"/>
          <w:szCs w:val="18"/>
        </w:rPr>
      </w:pPr>
      <w:r>
        <w:rPr>
          <w:vertAlign w:val="superscript"/>
        </w:rPr>
        <w:footnoteRef/>
      </w:r>
      <w:r>
        <w:rPr>
          <w:sz w:val="18"/>
          <w:szCs w:val="18"/>
        </w:rPr>
        <w:t xml:space="preserve"> “Facts and Figures 2024 - Internet Use.” </w:t>
      </w:r>
      <w:r>
        <w:rPr>
          <w:i/>
          <w:iCs/>
          <w:sz w:val="18"/>
          <w:szCs w:val="18"/>
        </w:rPr>
        <w:t>International Telecommunications Union.</w:t>
      </w:r>
      <w:r>
        <w:rPr>
          <w:sz w:val="18"/>
          <w:szCs w:val="18"/>
        </w:rPr>
        <w:t xml:space="preserve"> Accessed December 2, 2025. https://www.itu.int/itu-d/reports/statistics/2024/11/10/ff24-internet-use.</w:t>
      </w:r>
    </w:p>
  </w:footnote>
  <w:footnote w:id="3">
    <w:p w14:paraId="0D3436AF" w14:textId="77777777" w:rsidR="00B65F05" w:rsidRDefault="00000000">
      <w:pPr>
        <w:spacing w:line="240" w:lineRule="auto"/>
        <w:ind w:left="720" w:hanging="720"/>
        <w:rPr>
          <w:sz w:val="18"/>
          <w:szCs w:val="18"/>
        </w:rPr>
      </w:pPr>
      <w:r>
        <w:rPr>
          <w:vertAlign w:val="superscript"/>
        </w:rPr>
        <w:footnoteRef/>
      </w:r>
      <w:r>
        <w:rPr>
          <w:sz w:val="18"/>
          <w:szCs w:val="18"/>
        </w:rPr>
        <w:t xml:space="preserve"> DataReportal – Global Digital Insights. “Digital 2020: October Global Statshot.” October 20, 2020. https://datareportal.com/reports/digital-2020-october-global-statshot.</w:t>
      </w:r>
    </w:p>
  </w:footnote>
  <w:footnote w:id="4">
    <w:p w14:paraId="272297F1" w14:textId="77777777" w:rsidR="00B65F05" w:rsidRDefault="00000000">
      <w:pPr>
        <w:spacing w:line="240" w:lineRule="auto"/>
        <w:ind w:left="720" w:hanging="720"/>
        <w:rPr>
          <w:sz w:val="20"/>
          <w:szCs w:val="20"/>
        </w:rPr>
      </w:pPr>
      <w:r>
        <w:rPr>
          <w:vertAlign w:val="superscript"/>
        </w:rPr>
        <w:footnoteRef/>
      </w:r>
      <w:r>
        <w:rPr>
          <w:sz w:val="18"/>
          <w:szCs w:val="18"/>
        </w:rPr>
        <w:t xml:space="preserve"> United Nations, General Assembly resolution 2200A. International Covenant on Civil and Political Rights. 16 December 1966. https://www.ohchr.org/sites/default/files/ccpr.pdf</w:t>
      </w:r>
    </w:p>
  </w:footnote>
  <w:footnote w:id="5">
    <w:p w14:paraId="752BAD26" w14:textId="77777777" w:rsidR="00B65F05" w:rsidRDefault="00000000">
      <w:pPr>
        <w:spacing w:line="240" w:lineRule="auto"/>
        <w:ind w:left="720" w:hanging="720"/>
        <w:rPr>
          <w:sz w:val="18"/>
          <w:szCs w:val="18"/>
        </w:rPr>
      </w:pPr>
      <w:r>
        <w:rPr>
          <w:vertAlign w:val="superscript"/>
        </w:rPr>
        <w:footnoteRef/>
      </w:r>
      <w:r>
        <w:rPr>
          <w:sz w:val="18"/>
          <w:szCs w:val="18"/>
        </w:rPr>
        <w:t xml:space="preserve"> “OHCHR | OHCHR and Freedom of Expression vs Incitement to Hatred: The Rabat Plan of Action.”Accessed December 2, 2025. OHCHR. https://www.ohchr.org/en/freedom-of-expression.</w:t>
      </w:r>
    </w:p>
  </w:footnote>
  <w:footnote w:id="6">
    <w:p w14:paraId="279E7847" w14:textId="77777777" w:rsidR="00B65F05" w:rsidRDefault="00000000">
      <w:pPr>
        <w:spacing w:line="240" w:lineRule="auto"/>
        <w:ind w:left="720" w:hanging="720"/>
        <w:rPr>
          <w:sz w:val="18"/>
          <w:szCs w:val="18"/>
        </w:rPr>
      </w:pPr>
      <w:r>
        <w:rPr>
          <w:vertAlign w:val="superscript"/>
        </w:rPr>
        <w:footnoteRef/>
      </w:r>
      <w:r>
        <w:rPr>
          <w:sz w:val="18"/>
          <w:szCs w:val="18"/>
        </w:rPr>
        <w:t xml:space="preserve"> United Nations Human Rights Council, Twenty-second session, “Annual report of the United Nations High Commissioner for Human Rights,” A/HRC/22/17/Add.4. 11 January 2013. https://www.ohchr.org/sites/default/files/Rabat_draft_outcome.pdf</w:t>
      </w:r>
    </w:p>
  </w:footnote>
  <w:footnote w:id="7">
    <w:p w14:paraId="0578FDCF" w14:textId="77777777" w:rsidR="00B65F05" w:rsidRDefault="00000000">
      <w:pPr>
        <w:spacing w:line="240" w:lineRule="auto"/>
        <w:ind w:left="720" w:hanging="720"/>
        <w:rPr>
          <w:sz w:val="18"/>
          <w:szCs w:val="18"/>
        </w:rPr>
      </w:pPr>
      <w:r>
        <w:rPr>
          <w:vertAlign w:val="superscript"/>
        </w:rPr>
        <w:footnoteRef/>
      </w:r>
      <w:r>
        <w:rPr>
          <w:sz w:val="18"/>
          <w:szCs w:val="18"/>
        </w:rPr>
        <w:t xml:space="preserve"> United Nations Human Rights Council. “One-pager on ‘incitement to hatred.’” OHCHR. Accessed December 2, 2025. https://www.ohchr.org/sites/default/files/Rabat_threshold_test.pdf</w:t>
      </w:r>
    </w:p>
  </w:footnote>
  <w:footnote w:id="8">
    <w:p w14:paraId="0DADA2A7" w14:textId="77777777" w:rsidR="00B65F05" w:rsidRDefault="00000000">
      <w:pPr>
        <w:spacing w:line="240" w:lineRule="auto"/>
        <w:ind w:left="720" w:hanging="720"/>
        <w:rPr>
          <w:sz w:val="18"/>
          <w:szCs w:val="18"/>
        </w:rPr>
      </w:pPr>
      <w:r>
        <w:rPr>
          <w:vertAlign w:val="superscript"/>
        </w:rPr>
        <w:footnoteRef/>
      </w:r>
      <w:r>
        <w:rPr>
          <w:sz w:val="18"/>
          <w:szCs w:val="18"/>
        </w:rPr>
        <w:t xml:space="preserve"> OHCHR, </w:t>
      </w:r>
      <w:r>
        <w:rPr>
          <w:i/>
          <w:iCs/>
          <w:sz w:val="18"/>
          <w:szCs w:val="18"/>
        </w:rPr>
        <w:t>UN Plan of Action on the Safety of Journalists and the Issue of Impunity</w:t>
      </w:r>
      <w:r>
        <w:rPr>
          <w:sz w:val="18"/>
          <w:szCs w:val="18"/>
        </w:rPr>
        <w:t>. CI-12/CONF.202/6. Accessed December 2, 2025. https://www.ohchr.org/sites/default/files/documents/issues/journalists/2023-01-31/un-plan-on-safety-journalists_en.pdf</w:t>
      </w:r>
    </w:p>
  </w:footnote>
  <w:footnote w:id="9">
    <w:p w14:paraId="594599D6" w14:textId="77777777" w:rsidR="00B65F05" w:rsidRDefault="00000000">
      <w:pPr>
        <w:spacing w:line="240" w:lineRule="auto"/>
        <w:rPr>
          <w:sz w:val="18"/>
          <w:szCs w:val="18"/>
        </w:rPr>
      </w:pPr>
      <w:r>
        <w:rPr>
          <w:vertAlign w:val="superscript"/>
        </w:rPr>
        <w:footnoteRef/>
      </w:r>
      <w:r>
        <w:rPr>
          <w:sz w:val="18"/>
          <w:szCs w:val="18"/>
        </w:rPr>
        <w:t xml:space="preserve"> Ibid</w:t>
      </w:r>
    </w:p>
  </w:footnote>
  <w:footnote w:id="10">
    <w:p w14:paraId="5E2B9748" w14:textId="77777777" w:rsidR="00B65F05" w:rsidRDefault="00000000">
      <w:pPr>
        <w:spacing w:line="240" w:lineRule="auto"/>
        <w:ind w:left="720" w:hanging="720"/>
        <w:rPr>
          <w:sz w:val="18"/>
          <w:szCs w:val="18"/>
        </w:rPr>
      </w:pPr>
      <w:r>
        <w:rPr>
          <w:vertAlign w:val="superscript"/>
        </w:rPr>
        <w:footnoteRef/>
      </w:r>
      <w:r>
        <w:rPr>
          <w:sz w:val="18"/>
          <w:szCs w:val="18"/>
        </w:rPr>
        <w:t xml:space="preserve"> UNESCO, World Trends in Freedom of Expression and Media Development Global Report 2021/2022. 2022. https://unesdoc.unesco.org/ark:/48223/pf0000380618</w:t>
      </w:r>
    </w:p>
  </w:footnote>
  <w:footnote w:id="11">
    <w:p w14:paraId="49579E9D" w14:textId="77777777" w:rsidR="00B65F05" w:rsidRDefault="00000000">
      <w:pPr>
        <w:spacing w:line="240" w:lineRule="auto"/>
        <w:ind w:left="720" w:hanging="720"/>
        <w:rPr>
          <w:sz w:val="18"/>
          <w:szCs w:val="18"/>
        </w:rPr>
      </w:pPr>
      <w:r>
        <w:rPr>
          <w:vertAlign w:val="superscript"/>
        </w:rPr>
        <w:footnoteRef/>
      </w:r>
      <w:r>
        <w:rPr>
          <w:sz w:val="18"/>
          <w:szCs w:val="18"/>
        </w:rPr>
        <w:t xml:space="preserve"> The Internet Governance Forum, Background Report. 30 October - 2 November 2006. https://intgovforum.org/en/filedepot_download/8/29648</w:t>
      </w:r>
    </w:p>
  </w:footnote>
  <w:footnote w:id="12">
    <w:p w14:paraId="416CD7BC" w14:textId="77777777" w:rsidR="00B65F05" w:rsidRDefault="00000000">
      <w:pPr>
        <w:spacing w:line="240" w:lineRule="auto"/>
        <w:rPr>
          <w:sz w:val="18"/>
          <w:szCs w:val="18"/>
        </w:rPr>
      </w:pPr>
      <w:r>
        <w:rPr>
          <w:vertAlign w:val="superscript"/>
        </w:rPr>
        <w:footnoteRef/>
      </w:r>
      <w:r>
        <w:rPr>
          <w:sz w:val="18"/>
          <w:szCs w:val="18"/>
        </w:rPr>
        <w:t xml:space="preserve"> Ibid</w:t>
      </w:r>
    </w:p>
  </w:footnote>
  <w:footnote w:id="13">
    <w:p w14:paraId="079D13F4" w14:textId="77777777" w:rsidR="00B65F05" w:rsidRPr="00A05036" w:rsidRDefault="00000000">
      <w:pPr>
        <w:spacing w:line="240" w:lineRule="auto"/>
        <w:ind w:left="720" w:hanging="720"/>
        <w:rPr>
          <w:sz w:val="18"/>
          <w:szCs w:val="18"/>
          <w:lang w:val="pt-BR"/>
        </w:rPr>
      </w:pPr>
      <w:r>
        <w:rPr>
          <w:vertAlign w:val="superscript"/>
        </w:rPr>
        <w:footnoteRef/>
      </w:r>
      <w:r>
        <w:rPr>
          <w:sz w:val="18"/>
          <w:szCs w:val="18"/>
        </w:rPr>
        <w:t xml:space="preserve"> United Nations, Countering disinformation for the promotion and protection of human rights and fundamental freedoms: report of the Secretary-General. </w:t>
      </w:r>
      <w:r w:rsidRPr="00A05036">
        <w:rPr>
          <w:sz w:val="18"/>
          <w:szCs w:val="18"/>
          <w:lang w:val="pt-BR"/>
        </w:rPr>
        <w:t>A/77/287. 12 August 2022. https://digitallibrary.un.org/record/3987886?ln=en&amp;v=pdf</w:t>
      </w:r>
    </w:p>
  </w:footnote>
  <w:footnote w:id="14">
    <w:p w14:paraId="30132426" w14:textId="77777777" w:rsidR="00B65F05" w:rsidRDefault="00000000">
      <w:pPr>
        <w:spacing w:line="240" w:lineRule="auto"/>
        <w:ind w:left="720" w:hanging="720"/>
        <w:rPr>
          <w:sz w:val="18"/>
          <w:szCs w:val="18"/>
        </w:rPr>
      </w:pPr>
      <w:r>
        <w:rPr>
          <w:vertAlign w:val="superscript"/>
        </w:rPr>
        <w:footnoteRef/>
      </w:r>
      <w:r>
        <w:rPr>
          <w:sz w:val="18"/>
          <w:szCs w:val="18"/>
        </w:rPr>
        <w:t xml:space="preserve"> United Nations, “Background,” Information Integrity, Accessed December 2, 2025. https://www.un.org/en/information-integrity/background</w:t>
      </w:r>
    </w:p>
  </w:footnote>
  <w:footnote w:id="15">
    <w:p w14:paraId="695E9B98" w14:textId="77777777" w:rsidR="00B65F05" w:rsidRDefault="00000000">
      <w:pPr>
        <w:spacing w:line="240" w:lineRule="auto"/>
        <w:ind w:left="720" w:hanging="720"/>
        <w:rPr>
          <w:sz w:val="18"/>
          <w:szCs w:val="18"/>
        </w:rPr>
      </w:pPr>
      <w:r>
        <w:rPr>
          <w:vertAlign w:val="superscript"/>
        </w:rPr>
        <w:footnoteRef/>
      </w:r>
      <w:r>
        <w:rPr>
          <w:sz w:val="18"/>
          <w:szCs w:val="18"/>
        </w:rPr>
        <w:t xml:space="preserve"> “Digital Journalism: Research Starters: EBSCO Research.” EBSCO. Accessed December 2, 2025. https://www.ebsco.com/research-starters/computer-science/digital-journalism. </w:t>
      </w:r>
    </w:p>
  </w:footnote>
  <w:footnote w:id="16">
    <w:p w14:paraId="6D841598" w14:textId="77777777" w:rsidR="00B65F05" w:rsidRDefault="00000000">
      <w:pPr>
        <w:spacing w:line="240" w:lineRule="auto"/>
        <w:rPr>
          <w:sz w:val="18"/>
          <w:szCs w:val="18"/>
        </w:rPr>
      </w:pPr>
      <w:r>
        <w:rPr>
          <w:vertAlign w:val="superscript"/>
        </w:rPr>
        <w:footnoteRef/>
      </w:r>
      <w:r>
        <w:rPr>
          <w:sz w:val="18"/>
          <w:szCs w:val="18"/>
        </w:rPr>
        <w:t xml:space="preserve"> Ibid.</w:t>
      </w:r>
    </w:p>
  </w:footnote>
  <w:footnote w:id="17">
    <w:p w14:paraId="7F3D6053" w14:textId="77777777" w:rsidR="00B65F05" w:rsidRDefault="00000000">
      <w:pPr>
        <w:spacing w:line="240" w:lineRule="auto"/>
        <w:ind w:left="720" w:hanging="720"/>
        <w:rPr>
          <w:sz w:val="18"/>
          <w:szCs w:val="18"/>
        </w:rPr>
      </w:pPr>
      <w:r>
        <w:rPr>
          <w:vertAlign w:val="superscript"/>
        </w:rPr>
        <w:footnoteRef/>
      </w:r>
      <w:r>
        <w:rPr>
          <w:sz w:val="18"/>
          <w:szCs w:val="18"/>
        </w:rPr>
        <w:t xml:space="preserve"> UN Habitat, Addressing the Digital Divide, HS/043/21E, 2021. https://unhabitat.org/sites/default/files/2021/11/addressing_the_digital_divide.pdf</w:t>
      </w:r>
    </w:p>
  </w:footnote>
  <w:footnote w:id="18">
    <w:p w14:paraId="70A556F2" w14:textId="77777777" w:rsidR="00B65F05" w:rsidRDefault="00000000">
      <w:pPr>
        <w:spacing w:line="240" w:lineRule="auto"/>
        <w:rPr>
          <w:sz w:val="18"/>
          <w:szCs w:val="18"/>
        </w:rPr>
      </w:pPr>
      <w:r>
        <w:rPr>
          <w:vertAlign w:val="superscript"/>
        </w:rPr>
        <w:footnoteRef/>
      </w:r>
      <w:r>
        <w:rPr>
          <w:sz w:val="18"/>
          <w:szCs w:val="18"/>
        </w:rPr>
        <w:t xml:space="preserve"> Ibid</w:t>
      </w:r>
    </w:p>
  </w:footnote>
  <w:footnote w:id="19">
    <w:p w14:paraId="1205796E" w14:textId="77777777" w:rsidR="00B65F05" w:rsidRDefault="00000000">
      <w:pPr>
        <w:spacing w:line="240" w:lineRule="auto"/>
        <w:rPr>
          <w:sz w:val="18"/>
          <w:szCs w:val="18"/>
        </w:rPr>
      </w:pPr>
      <w:r>
        <w:rPr>
          <w:vertAlign w:val="superscript"/>
        </w:rPr>
        <w:footnoteRef/>
      </w:r>
      <w:r>
        <w:rPr>
          <w:sz w:val="18"/>
          <w:szCs w:val="18"/>
        </w:rPr>
        <w:t xml:space="preserve"> Ibid</w:t>
      </w:r>
    </w:p>
  </w:footnote>
  <w:footnote w:id="20">
    <w:p w14:paraId="771019A5" w14:textId="77777777" w:rsidR="00B65F05" w:rsidRDefault="00000000">
      <w:pPr>
        <w:spacing w:line="240" w:lineRule="auto"/>
        <w:ind w:left="720" w:hanging="720"/>
        <w:rPr>
          <w:sz w:val="18"/>
          <w:szCs w:val="18"/>
        </w:rPr>
      </w:pPr>
      <w:r>
        <w:rPr>
          <w:vertAlign w:val="superscript"/>
        </w:rPr>
        <w:footnoteRef/>
      </w:r>
      <w:r>
        <w:rPr>
          <w:sz w:val="18"/>
          <w:szCs w:val="18"/>
        </w:rPr>
        <w:t xml:space="preserve"> “United Nations Global Principles for Information Integrity Recommendations for Multi-Stakeholder Action.” n.d. https://www.un.org/sites/un2.un.org/files/un-global-principles-for-information-integrity-en.pdf.</w:t>
      </w:r>
    </w:p>
  </w:footnote>
  <w:footnote w:id="21">
    <w:p w14:paraId="3FB4C0FC" w14:textId="77777777" w:rsidR="00B65F05" w:rsidRDefault="00000000">
      <w:pPr>
        <w:spacing w:line="240" w:lineRule="auto"/>
        <w:ind w:left="720" w:hanging="720"/>
        <w:rPr>
          <w:sz w:val="18"/>
          <w:szCs w:val="18"/>
        </w:rPr>
      </w:pPr>
      <w:r>
        <w:rPr>
          <w:vertAlign w:val="superscript"/>
        </w:rPr>
        <w:footnoteRef/>
      </w:r>
      <w:r>
        <w:rPr>
          <w:sz w:val="18"/>
          <w:szCs w:val="18"/>
        </w:rPr>
        <w:t xml:space="preserve"> “Our Common Agenda Policy Brief 5.” May 2023. https://www.un.org/sites/un2.un.org/files/our-common-agenda-policy-brief-gobal-digi-compact-en.pdf.</w:t>
      </w:r>
    </w:p>
  </w:footnote>
  <w:footnote w:id="22">
    <w:p w14:paraId="145C488F" w14:textId="77777777" w:rsidR="00B65F05" w:rsidRDefault="00000000">
      <w:pPr>
        <w:spacing w:line="240" w:lineRule="auto"/>
        <w:ind w:left="720" w:hanging="720"/>
        <w:rPr>
          <w:sz w:val="18"/>
          <w:szCs w:val="18"/>
        </w:rPr>
      </w:pPr>
      <w:r>
        <w:rPr>
          <w:vertAlign w:val="superscript"/>
        </w:rPr>
        <w:footnoteRef/>
      </w:r>
      <w:r>
        <w:rPr>
          <w:sz w:val="18"/>
          <w:szCs w:val="18"/>
        </w:rPr>
        <w:t xml:space="preserve"> UNESCO. n.d. “Ethics of Artificial Intelligence.” UNESCO. Accessed December 2, 2025. https://www.unesco.org/en/artificial-intelligence/recommendation-ethics.</w:t>
      </w:r>
    </w:p>
  </w:footnote>
  <w:footnote w:id="23">
    <w:p w14:paraId="33585497" w14:textId="77777777" w:rsidR="00B65F05" w:rsidRDefault="00000000">
      <w:pPr>
        <w:spacing w:line="240" w:lineRule="auto"/>
        <w:ind w:left="720" w:hanging="720"/>
        <w:rPr>
          <w:sz w:val="18"/>
          <w:szCs w:val="18"/>
        </w:rPr>
      </w:pPr>
      <w:r>
        <w:rPr>
          <w:vertAlign w:val="superscript"/>
        </w:rPr>
        <w:footnoteRef/>
      </w:r>
      <w:r>
        <w:rPr>
          <w:sz w:val="18"/>
          <w:szCs w:val="18"/>
        </w:rPr>
        <w:t xml:space="preserve"> United Nations, </w:t>
      </w:r>
      <w:r>
        <w:rPr>
          <w:i/>
          <w:iCs/>
          <w:sz w:val="18"/>
          <w:szCs w:val="18"/>
        </w:rPr>
        <w:t xml:space="preserve">Governing AI for Humanity, </w:t>
      </w:r>
      <w:r>
        <w:rPr>
          <w:sz w:val="18"/>
          <w:szCs w:val="18"/>
        </w:rPr>
        <w:t>September 2024. https://www.un.org/sites/un2.un.org/files/governing_ai_for_humanity_final_report_en.pdf</w:t>
      </w:r>
    </w:p>
  </w:footnote>
  <w:footnote w:id="24">
    <w:p w14:paraId="5EB1F900" w14:textId="77777777" w:rsidR="00B65F05" w:rsidRDefault="00000000">
      <w:pPr>
        <w:spacing w:line="240" w:lineRule="auto"/>
        <w:ind w:left="720" w:hanging="720"/>
        <w:rPr>
          <w:sz w:val="18"/>
          <w:szCs w:val="18"/>
        </w:rPr>
      </w:pPr>
      <w:r>
        <w:rPr>
          <w:vertAlign w:val="superscript"/>
        </w:rPr>
        <w:footnoteRef/>
      </w:r>
      <w:r>
        <w:rPr>
          <w:sz w:val="18"/>
          <w:szCs w:val="18"/>
        </w:rPr>
        <w:t xml:space="preserve"> “GDC Resources | Office for Digital and Emerging Technologies.” 2025. Accessed December 2, 2025. https://www.un.org/digital-emerging-technologies/content/gdc-resources.</w:t>
      </w:r>
    </w:p>
  </w:footnote>
  <w:footnote w:id="25">
    <w:p w14:paraId="6CAA4E2A" w14:textId="77777777" w:rsidR="00B65F05" w:rsidRDefault="00000000">
      <w:pPr>
        <w:spacing w:line="240" w:lineRule="auto"/>
        <w:ind w:left="720" w:hanging="720"/>
        <w:rPr>
          <w:sz w:val="18"/>
          <w:szCs w:val="18"/>
        </w:rPr>
      </w:pPr>
      <w:r>
        <w:rPr>
          <w:vertAlign w:val="superscript"/>
        </w:rPr>
        <w:footnoteRef/>
      </w:r>
      <w:r>
        <w:rPr>
          <w:sz w:val="18"/>
          <w:szCs w:val="18"/>
        </w:rPr>
        <w:t xml:space="preserve"> General Assembly, </w:t>
      </w:r>
      <w:r>
        <w:rPr>
          <w:i/>
          <w:iCs/>
          <w:sz w:val="18"/>
          <w:szCs w:val="18"/>
        </w:rPr>
        <w:t>Global Digital Compact</w:t>
      </w:r>
      <w:r>
        <w:rPr>
          <w:sz w:val="18"/>
          <w:szCs w:val="18"/>
        </w:rPr>
        <w:t>, A/79/L.2. 20 September 2025. https://documents.un.org/doc/undoc/ltd/n24/252/89/pdf/n2425289.pdf</w:t>
      </w:r>
    </w:p>
  </w:footnote>
  <w:footnote w:id="26">
    <w:p w14:paraId="5C8580F1" w14:textId="77777777" w:rsidR="00B65F05" w:rsidRDefault="00000000">
      <w:pPr>
        <w:spacing w:line="240" w:lineRule="auto"/>
        <w:rPr>
          <w:sz w:val="18"/>
          <w:szCs w:val="18"/>
        </w:rPr>
      </w:pPr>
      <w:r>
        <w:rPr>
          <w:vertAlign w:val="superscript"/>
        </w:rPr>
        <w:footnoteRef/>
      </w:r>
      <w:r>
        <w:rPr>
          <w:sz w:val="18"/>
          <w:szCs w:val="18"/>
        </w:rPr>
        <w:t xml:space="preserve"> Ibid</w:t>
      </w:r>
    </w:p>
  </w:footnote>
  <w:footnote w:id="27">
    <w:p w14:paraId="08B075BF" w14:textId="77777777" w:rsidR="00B65F05" w:rsidRDefault="00000000">
      <w:pPr>
        <w:spacing w:line="240" w:lineRule="auto"/>
        <w:ind w:left="720" w:hanging="720"/>
        <w:rPr>
          <w:sz w:val="18"/>
          <w:szCs w:val="18"/>
        </w:rPr>
      </w:pPr>
      <w:r>
        <w:rPr>
          <w:vertAlign w:val="superscript"/>
        </w:rPr>
        <w:footnoteRef/>
      </w:r>
      <w:r>
        <w:rPr>
          <w:sz w:val="18"/>
          <w:szCs w:val="18"/>
        </w:rPr>
        <w:t xml:space="preserve">  “United Nations Global Principles for Information Integrity Recommendations for Multi-Stakeholder Action.” n.d. https://www.un.org/sites/un2.un.org/files/un-global-principles-for-information-integrity-en.pdf.</w:t>
      </w:r>
    </w:p>
  </w:footnote>
  <w:footnote w:id="28">
    <w:p w14:paraId="74A1CBD8" w14:textId="77777777" w:rsidR="00B65F05" w:rsidRDefault="00000000">
      <w:pPr>
        <w:spacing w:line="240" w:lineRule="auto"/>
        <w:ind w:left="720" w:hanging="720"/>
        <w:rPr>
          <w:sz w:val="18"/>
          <w:szCs w:val="18"/>
        </w:rPr>
      </w:pPr>
      <w:r>
        <w:rPr>
          <w:vertAlign w:val="superscript"/>
        </w:rPr>
        <w:footnoteRef/>
      </w:r>
      <w:r>
        <w:rPr>
          <w:sz w:val="18"/>
          <w:szCs w:val="18"/>
        </w:rPr>
        <w:t xml:space="preserve"> Sonni, Alem Febri. 2025. “Digital Transformation in Journalism: Mini Review on the Impact of AI on Journalistic Practices.” </w:t>
      </w:r>
      <w:r>
        <w:rPr>
          <w:i/>
          <w:iCs/>
          <w:sz w:val="18"/>
          <w:szCs w:val="18"/>
        </w:rPr>
        <w:t>Frontiers in Communication</w:t>
      </w:r>
      <w:r>
        <w:rPr>
          <w:sz w:val="18"/>
          <w:szCs w:val="18"/>
        </w:rPr>
        <w:t xml:space="preserve"> 10 (February). https://doi.org/10.3389/fcomm.2025.1535156. </w:t>
      </w:r>
    </w:p>
  </w:footnote>
  <w:footnote w:id="29">
    <w:p w14:paraId="7E1604CB" w14:textId="77777777" w:rsidR="00B65F05" w:rsidRDefault="00000000">
      <w:pPr>
        <w:spacing w:line="240" w:lineRule="auto"/>
        <w:ind w:left="720" w:hanging="720"/>
        <w:rPr>
          <w:sz w:val="18"/>
          <w:szCs w:val="18"/>
        </w:rPr>
      </w:pPr>
      <w:r>
        <w:rPr>
          <w:vertAlign w:val="superscript"/>
        </w:rPr>
        <w:footnoteRef/>
      </w:r>
      <w:r>
        <w:rPr>
          <w:sz w:val="18"/>
          <w:szCs w:val="18"/>
        </w:rPr>
        <w:t xml:space="preserve"> General Assembly Res 78/213. Promotion and protection of human rights in the context of digital technologies. A/RES/78/213. 22 December 2023. https://docs.un.org/en/A/RES/78/213</w:t>
      </w:r>
    </w:p>
  </w:footnote>
  <w:footnote w:id="30">
    <w:p w14:paraId="2DC2CC2B" w14:textId="77777777" w:rsidR="00B65F05" w:rsidRDefault="00000000">
      <w:pPr>
        <w:spacing w:line="240" w:lineRule="auto"/>
        <w:ind w:left="720" w:hanging="720"/>
        <w:rPr>
          <w:sz w:val="18"/>
          <w:szCs w:val="18"/>
        </w:rPr>
      </w:pPr>
      <w:r>
        <w:rPr>
          <w:vertAlign w:val="superscript"/>
        </w:rPr>
        <w:footnoteRef/>
      </w:r>
      <w:r>
        <w:rPr>
          <w:sz w:val="18"/>
          <w:szCs w:val="18"/>
        </w:rPr>
        <w:t xml:space="preserve"> UNESCO, </w:t>
      </w:r>
      <w:r>
        <w:rPr>
          <w:i/>
          <w:iCs/>
          <w:sz w:val="18"/>
          <w:szCs w:val="18"/>
        </w:rPr>
        <w:t>Guidelines for the Governance of Digital Platforms</w:t>
      </w:r>
      <w:r>
        <w:rPr>
          <w:sz w:val="18"/>
          <w:szCs w:val="18"/>
        </w:rPr>
        <w:t>, 2023. https://unesdoc.unesco.org/ark:/48223/pf0000387339.</w:t>
      </w:r>
    </w:p>
  </w:footnote>
  <w:footnote w:id="31">
    <w:p w14:paraId="251F612B" w14:textId="77777777" w:rsidR="00B65F05" w:rsidRDefault="00000000">
      <w:pPr>
        <w:spacing w:line="240" w:lineRule="auto"/>
        <w:rPr>
          <w:sz w:val="18"/>
          <w:szCs w:val="18"/>
        </w:rPr>
      </w:pPr>
      <w:r>
        <w:rPr>
          <w:vertAlign w:val="superscript"/>
        </w:rPr>
        <w:footnoteRef/>
      </w:r>
      <w:r>
        <w:rPr>
          <w:sz w:val="18"/>
          <w:szCs w:val="18"/>
        </w:rPr>
        <w:t xml:space="preserve"> Ibid.</w:t>
      </w:r>
    </w:p>
  </w:footnote>
  <w:footnote w:id="32">
    <w:p w14:paraId="3FDF7667" w14:textId="77777777" w:rsidR="00B65F05" w:rsidRDefault="00000000">
      <w:pPr>
        <w:spacing w:line="240" w:lineRule="auto"/>
        <w:rPr>
          <w:sz w:val="18"/>
          <w:szCs w:val="18"/>
        </w:rPr>
      </w:pPr>
      <w:r>
        <w:rPr>
          <w:vertAlign w:val="superscript"/>
        </w:rPr>
        <w:footnoteRef/>
      </w:r>
      <w:r>
        <w:rPr>
          <w:sz w:val="18"/>
          <w:szCs w:val="18"/>
        </w:rPr>
        <w:t xml:space="preserve"> Ibid.</w:t>
      </w:r>
    </w:p>
  </w:footnote>
  <w:footnote w:id="33">
    <w:p w14:paraId="7ACE27B4" w14:textId="77777777" w:rsidR="00B65F05" w:rsidRDefault="00000000">
      <w:pPr>
        <w:spacing w:line="240" w:lineRule="auto"/>
        <w:ind w:left="720" w:hanging="720"/>
        <w:rPr>
          <w:sz w:val="18"/>
          <w:szCs w:val="18"/>
        </w:rPr>
      </w:pPr>
      <w:r>
        <w:rPr>
          <w:vertAlign w:val="superscript"/>
        </w:rPr>
        <w:footnoteRef/>
      </w:r>
      <w:r>
        <w:rPr>
          <w:sz w:val="18"/>
          <w:szCs w:val="18"/>
        </w:rPr>
        <w:t xml:space="preserve"> United Nations, </w:t>
      </w:r>
      <w:r>
        <w:rPr>
          <w:i/>
          <w:iCs/>
          <w:sz w:val="18"/>
          <w:szCs w:val="18"/>
        </w:rPr>
        <w:t xml:space="preserve">Governing AI for Humanity, </w:t>
      </w:r>
      <w:r>
        <w:rPr>
          <w:sz w:val="18"/>
          <w:szCs w:val="18"/>
        </w:rPr>
        <w:t>September 2024. https://www.un.org/sites/un2.un.org/files/governing_ai_for_humanity_final_report_en.pdf</w:t>
      </w:r>
    </w:p>
  </w:footnote>
  <w:footnote w:id="34">
    <w:p w14:paraId="51D61FDF" w14:textId="77777777" w:rsidR="00B65F05" w:rsidRDefault="00000000">
      <w:pPr>
        <w:spacing w:line="240" w:lineRule="auto"/>
        <w:ind w:left="720" w:hanging="720"/>
        <w:rPr>
          <w:sz w:val="18"/>
          <w:szCs w:val="18"/>
        </w:rPr>
      </w:pPr>
      <w:r>
        <w:rPr>
          <w:vertAlign w:val="superscript"/>
        </w:rPr>
        <w:footnoteRef/>
      </w:r>
      <w:r>
        <w:rPr>
          <w:sz w:val="18"/>
          <w:szCs w:val="18"/>
        </w:rPr>
        <w:t xml:space="preserve">  “WWF Fights Global Overfishing.” 2015. World Wildlife Fund. 2015. https://www.worldwildlife.org/our-work/oceans/sustainable-seafood/wild-caught-seafood/overfishing/. </w:t>
      </w:r>
    </w:p>
  </w:footnote>
  <w:footnote w:id="35">
    <w:p w14:paraId="1E91950A" w14:textId="77777777" w:rsidR="00B65F05" w:rsidRDefault="00000000">
      <w:pPr>
        <w:spacing w:line="240" w:lineRule="auto"/>
        <w:ind w:left="720" w:hanging="720"/>
        <w:rPr>
          <w:sz w:val="18"/>
          <w:szCs w:val="18"/>
        </w:rPr>
      </w:pPr>
      <w:r>
        <w:rPr>
          <w:vertAlign w:val="superscript"/>
        </w:rPr>
        <w:footnoteRef/>
      </w:r>
      <w:r>
        <w:rPr>
          <w:sz w:val="18"/>
          <w:szCs w:val="18"/>
        </w:rPr>
        <w:t xml:space="preserve">“WWF Fights Global Overfishing.” 2015. World Wildlife Fund. 2015. https://www.worldwildlife.org/our-work/oceans/sustainable-seafood/wild-caught-seafood/overfishing/. </w:t>
      </w:r>
    </w:p>
  </w:footnote>
  <w:footnote w:id="36">
    <w:p w14:paraId="520F711B" w14:textId="77777777" w:rsidR="00B65F05" w:rsidRDefault="00000000">
      <w:pPr>
        <w:spacing w:line="240" w:lineRule="auto"/>
        <w:ind w:left="720" w:hanging="720"/>
        <w:rPr>
          <w:sz w:val="18"/>
          <w:szCs w:val="18"/>
        </w:rPr>
      </w:pPr>
      <w:r>
        <w:rPr>
          <w:vertAlign w:val="superscript"/>
        </w:rPr>
        <w:footnoteRef/>
      </w:r>
      <w:r>
        <w:rPr>
          <w:sz w:val="18"/>
          <w:szCs w:val="18"/>
        </w:rPr>
        <w:t xml:space="preserve">“Four Reasons Illegal, Unreported and Unregulated (IUU) Fishing Affects Us and What We Can Do about It.” 2024. Newsroom. 2024. https://www.fao.org/newsroom/story/Four-reasons-illegal-unreported-and-unregulated-(IUU)-fishing-affects-us-and-what-we-can-do-about-it/en. </w:t>
      </w:r>
    </w:p>
  </w:footnote>
  <w:footnote w:id="37">
    <w:p w14:paraId="3572F5CC" w14:textId="77777777" w:rsidR="00B65F05" w:rsidRDefault="00000000">
      <w:pPr>
        <w:spacing w:line="240" w:lineRule="auto"/>
        <w:ind w:left="720" w:hanging="720"/>
        <w:rPr>
          <w:sz w:val="18"/>
          <w:szCs w:val="18"/>
        </w:rPr>
      </w:pPr>
      <w:r>
        <w:rPr>
          <w:vertAlign w:val="superscript"/>
        </w:rPr>
        <w:footnoteRef/>
      </w:r>
      <w:r>
        <w:rPr>
          <w:sz w:val="18"/>
          <w:szCs w:val="18"/>
        </w:rPr>
        <w:t xml:space="preserve">  “WWF Fights Global Overfishing.” 2015. World Wildlife Fund. 2015. https://www.worldwildlife.org/our-work/oceans/sustainable-seafood/wild-caught-seafood/overfishing/. </w:t>
      </w:r>
    </w:p>
  </w:footnote>
  <w:footnote w:id="38">
    <w:p w14:paraId="164C568C" w14:textId="77777777" w:rsidR="00B65F05" w:rsidRDefault="00000000">
      <w:pPr>
        <w:spacing w:line="240" w:lineRule="auto"/>
        <w:ind w:left="720" w:hanging="720"/>
        <w:rPr>
          <w:sz w:val="18"/>
          <w:szCs w:val="18"/>
        </w:rPr>
      </w:pPr>
      <w:r>
        <w:rPr>
          <w:vertAlign w:val="superscript"/>
        </w:rPr>
        <w:footnoteRef/>
      </w:r>
      <w:r>
        <w:rPr>
          <w:sz w:val="18"/>
          <w:szCs w:val="18"/>
        </w:rPr>
        <w:t xml:space="preserve"> Banna, Karim. 2025. “Large-Scale Industrial Fishing: When It Began and Its Historical Impact on Fisheries [Updated On- 2025].” FishingAndFish. June 4, 2025. https://fishingandfish.com/when-did-large-scale-industrial-fishing-began/. </w:t>
      </w:r>
    </w:p>
  </w:footnote>
  <w:footnote w:id="39">
    <w:p w14:paraId="09A0FE9F" w14:textId="77777777" w:rsidR="00B65F05" w:rsidRDefault="00000000">
      <w:pPr>
        <w:spacing w:line="240" w:lineRule="auto"/>
        <w:ind w:left="720" w:hanging="720"/>
        <w:rPr>
          <w:sz w:val="18"/>
          <w:szCs w:val="18"/>
        </w:rPr>
      </w:pPr>
      <w:r>
        <w:rPr>
          <w:vertAlign w:val="superscript"/>
        </w:rPr>
        <w:footnoteRef/>
      </w:r>
      <w:r>
        <w:rPr>
          <w:sz w:val="18"/>
          <w:szCs w:val="18"/>
        </w:rPr>
        <w:t xml:space="preserve"> International Maritime Organization. 2019. “United Nations Convention on the Law of the Sea.” Www.imo.org. International Maritime Organization. 2019. https://www.imo.org/en/OurWork/Legal/Pages/UnitedNationsConventionOnTheLawOfTheSea.aspx. </w:t>
      </w:r>
    </w:p>
  </w:footnote>
  <w:footnote w:id="40">
    <w:p w14:paraId="0054D15D" w14:textId="77777777" w:rsidR="00B65F05" w:rsidRDefault="00000000">
      <w:pPr>
        <w:spacing w:line="240" w:lineRule="auto"/>
        <w:ind w:left="720" w:hanging="720"/>
        <w:rPr>
          <w:sz w:val="18"/>
          <w:szCs w:val="18"/>
        </w:rPr>
      </w:pPr>
      <w:r>
        <w:rPr>
          <w:vertAlign w:val="superscript"/>
        </w:rPr>
        <w:footnoteRef/>
      </w:r>
      <w:r>
        <w:rPr>
          <w:sz w:val="18"/>
          <w:szCs w:val="18"/>
        </w:rPr>
        <w:t xml:space="preserve"> UNDP. 2015. “Sustainable Development Goals | United Nations Development Programme.” UNDP. 2015. https://www.undp.org/sustainable-development-goals/below-water. </w:t>
      </w:r>
    </w:p>
  </w:footnote>
  <w:footnote w:id="41">
    <w:p w14:paraId="50F087B8" w14:textId="77777777" w:rsidR="00B65F05" w:rsidRDefault="00000000">
      <w:pPr>
        <w:spacing w:line="240" w:lineRule="auto"/>
        <w:ind w:left="720" w:hanging="720"/>
        <w:rPr>
          <w:sz w:val="18"/>
          <w:szCs w:val="18"/>
        </w:rPr>
      </w:pPr>
      <w:r>
        <w:rPr>
          <w:vertAlign w:val="superscript"/>
        </w:rPr>
        <w:footnoteRef/>
      </w:r>
      <w:r>
        <w:rPr>
          <w:sz w:val="18"/>
          <w:szCs w:val="18"/>
        </w:rPr>
        <w:t xml:space="preserve"> Fisheries, NOAA. 2019. “Global Aquaculture | NOAA Fisheries.” NOAA. May 22, 2019. https://www.fisheries.noaa.gov/national/aquaculture/global-aquaculture. </w:t>
      </w:r>
    </w:p>
  </w:footnote>
  <w:footnote w:id="42">
    <w:p w14:paraId="36937AC2" w14:textId="77777777" w:rsidR="00B65F05" w:rsidRDefault="00000000">
      <w:pPr>
        <w:spacing w:line="240" w:lineRule="auto"/>
        <w:ind w:left="720" w:hanging="720"/>
        <w:rPr>
          <w:sz w:val="18"/>
          <w:szCs w:val="18"/>
        </w:rPr>
      </w:pPr>
      <w:r>
        <w:rPr>
          <w:vertAlign w:val="superscript"/>
        </w:rPr>
        <w:footnoteRef/>
      </w:r>
      <w:r>
        <w:rPr>
          <w:sz w:val="18"/>
          <w:szCs w:val="18"/>
        </w:rPr>
        <w:t xml:space="preserve"> Wear, Brigitte. 2024. “Fish Farming Industry Is Using ‘Misleading’ Figures to Downplay Its Role in Overfishing, New Research Finds.” DeSmog. November 21, 2024. https://www.desmog.com/2024/11/21/fish-farming-industry-is-using-misleading-figures-to-downplay-its-role-in-overfishing-new-research-finds/. </w:t>
      </w:r>
    </w:p>
  </w:footnote>
  <w:footnote w:id="43">
    <w:p w14:paraId="52D92F54" w14:textId="77777777" w:rsidR="00B65F05" w:rsidRPr="00A05036" w:rsidRDefault="00000000">
      <w:pPr>
        <w:spacing w:line="240" w:lineRule="auto"/>
        <w:ind w:left="720" w:hanging="720"/>
        <w:rPr>
          <w:sz w:val="18"/>
          <w:szCs w:val="18"/>
          <w:lang w:val="it-IT"/>
        </w:rPr>
      </w:pPr>
      <w:r>
        <w:rPr>
          <w:vertAlign w:val="superscript"/>
        </w:rPr>
        <w:footnoteRef/>
      </w:r>
      <w:r>
        <w:rPr>
          <w:sz w:val="18"/>
          <w:szCs w:val="18"/>
        </w:rPr>
        <w:t xml:space="preserve"> UNDP. 2015. “Sustainable Development Goals | United Nations Development Programme.” </w:t>
      </w:r>
      <w:r w:rsidRPr="00A05036">
        <w:rPr>
          <w:sz w:val="18"/>
          <w:szCs w:val="18"/>
          <w:lang w:val="it-IT"/>
        </w:rPr>
        <w:t xml:space="preserve">UNDP. 2015. https://www.undp.org/sustainable-development-goals/below-water. </w:t>
      </w:r>
    </w:p>
  </w:footnote>
  <w:footnote w:id="44">
    <w:p w14:paraId="70F994F6" w14:textId="77777777" w:rsidR="00B65F05" w:rsidRDefault="00000000">
      <w:pPr>
        <w:spacing w:line="240" w:lineRule="auto"/>
        <w:ind w:left="720" w:hanging="720"/>
        <w:rPr>
          <w:sz w:val="18"/>
          <w:szCs w:val="18"/>
        </w:rPr>
      </w:pPr>
      <w:r>
        <w:rPr>
          <w:vertAlign w:val="superscript"/>
        </w:rPr>
        <w:footnoteRef/>
      </w:r>
      <w:r w:rsidRPr="00A05036">
        <w:rPr>
          <w:sz w:val="18"/>
          <w:szCs w:val="18"/>
          <w:lang w:val="it-IT"/>
        </w:rPr>
        <w:t xml:space="preserve"> UN. 2025. </w:t>
      </w:r>
      <w:r>
        <w:rPr>
          <w:sz w:val="18"/>
          <w:szCs w:val="18"/>
        </w:rPr>
        <w:t>“Mediterranean, Black Sea Overfishing Hits 10-Year Low: UN Report.” Aa.com.tr. 2025. https://www.aa.com.tr/en/environment/mediterranean-black-sea-overfishing-hits-10-year-low-un-report/3756945.</w:t>
      </w:r>
    </w:p>
  </w:footnote>
  <w:footnote w:id="45">
    <w:p w14:paraId="31D48D57" w14:textId="77777777" w:rsidR="00B65F05" w:rsidRPr="00A05036" w:rsidRDefault="00000000">
      <w:pPr>
        <w:spacing w:line="240" w:lineRule="auto"/>
        <w:ind w:left="720" w:hanging="720"/>
        <w:rPr>
          <w:sz w:val="18"/>
          <w:szCs w:val="18"/>
          <w:lang w:val="fi-FI"/>
        </w:rPr>
      </w:pPr>
      <w:r>
        <w:rPr>
          <w:vertAlign w:val="superscript"/>
        </w:rPr>
        <w:footnoteRef/>
      </w:r>
      <w:r>
        <w:rPr>
          <w:sz w:val="18"/>
          <w:szCs w:val="18"/>
        </w:rPr>
        <w:t xml:space="preserve"> NOAA Fisheries. 2025. “Shrimp Fishery Research in the Southeast.” </w:t>
      </w:r>
      <w:r w:rsidRPr="00A05036">
        <w:rPr>
          <w:sz w:val="18"/>
          <w:szCs w:val="18"/>
          <w:lang w:val="fi-FI"/>
        </w:rPr>
        <w:t xml:space="preserve">NOAA. 2025. https://www.fisheries.noaa.gov/southeast/population-assessments/shrimp-fishery-research-southeast.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7663C" w14:textId="77777777" w:rsidR="00B65F05" w:rsidRDefault="00B65F05"/>
  <w:p w14:paraId="37F9EC3B" w14:textId="77777777" w:rsidR="00B65F05" w:rsidRDefault="00B65F05"/>
  <w:p w14:paraId="09E86482" w14:textId="77777777" w:rsidR="00B65F05" w:rsidRDefault="00B65F05"/>
  <w:p w14:paraId="3364973C" w14:textId="77777777" w:rsidR="00B65F05" w:rsidRDefault="00000000">
    <w:r>
      <w:rPr>
        <w:noProof/>
      </w:rPr>
      <w:drawing>
        <wp:anchor distT="0" distB="0" distL="0" distR="0" simplePos="0" relativeHeight="251658240" behindDoc="1" locked="0" layoutInCell="1" hidden="0" allowOverlap="1" wp14:anchorId="18D75C4D" wp14:editId="18FCB2E4">
          <wp:simplePos x="0" y="0"/>
          <wp:positionH relativeFrom="page">
            <wp:posOffset>276225</wp:posOffset>
          </wp:positionH>
          <wp:positionV relativeFrom="page">
            <wp:posOffset>133350</wp:posOffset>
          </wp:positionV>
          <wp:extent cx="942975" cy="94297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2975" cy="9429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7663E" w14:textId="77777777" w:rsidR="00B65F05" w:rsidRDefault="00000000">
    <w:pPr>
      <w:spacing w:line="240" w:lineRule="auto"/>
      <w:jc w:val="center"/>
      <w:rPr>
        <w:b/>
        <w:bCs/>
        <w:sz w:val="24"/>
        <w:szCs w:val="24"/>
      </w:rPr>
    </w:pPr>
    <w:r>
      <w:rPr>
        <w:b/>
        <w:bCs/>
        <w:noProof/>
        <w:sz w:val="24"/>
        <w:szCs w:val="24"/>
      </w:rPr>
      <w:drawing>
        <wp:anchor distT="0" distB="0" distL="0" distR="0" simplePos="0" relativeHeight="251659264" behindDoc="1" locked="0" layoutInCell="1" hidden="0" allowOverlap="1" wp14:anchorId="3167A228" wp14:editId="6FC49D63">
          <wp:simplePos x="0" y="0"/>
          <wp:positionH relativeFrom="page">
            <wp:posOffset>232209</wp:posOffset>
          </wp:positionH>
          <wp:positionV relativeFrom="page">
            <wp:posOffset>200025</wp:posOffset>
          </wp:positionV>
          <wp:extent cx="942975" cy="94297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2975" cy="942975"/>
                  </a:xfrm>
                  <a:prstGeom prst="rect">
                    <a:avLst/>
                  </a:prstGeom>
                  <a:ln/>
                </pic:spPr>
              </pic:pic>
            </a:graphicData>
          </a:graphic>
        </wp:anchor>
      </w:drawing>
    </w:r>
    <w:r>
      <w:rPr>
        <w:b/>
        <w:bCs/>
        <w:sz w:val="24"/>
        <w:szCs w:val="24"/>
      </w:rPr>
      <w:t>Kennesaw State University High School Model United Nations Conference</w:t>
    </w:r>
  </w:p>
  <w:p w14:paraId="0F4A40AD" w14:textId="77777777" w:rsidR="00B65F05" w:rsidRDefault="00000000">
    <w:pPr>
      <w:spacing w:line="240" w:lineRule="auto"/>
      <w:jc w:val="center"/>
      <w:rPr>
        <w:b/>
        <w:bCs/>
        <w:sz w:val="24"/>
        <w:szCs w:val="24"/>
      </w:rPr>
    </w:pPr>
    <w:r>
      <w:rPr>
        <w:b/>
        <w:bCs/>
        <w:sz w:val="24"/>
        <w:szCs w:val="24"/>
      </w:rPr>
      <w:t>Georgia Assembly Plenary</w:t>
    </w:r>
  </w:p>
  <w:p w14:paraId="2E9FF2C2" w14:textId="77777777" w:rsidR="00B65F05" w:rsidRDefault="00000000">
    <w:pPr>
      <w:spacing w:line="240" w:lineRule="auto"/>
      <w:jc w:val="center"/>
      <w:rPr>
        <w:b/>
        <w:bCs/>
        <w:sz w:val="24"/>
        <w:szCs w:val="24"/>
      </w:rPr>
    </w:pPr>
    <w:r>
      <w:rPr>
        <w:b/>
        <w:bCs/>
        <w:sz w:val="24"/>
        <w:szCs w:val="24"/>
        <w:highlight w:val="yellow"/>
      </w:rPr>
      <w:t>February 27th - 28th</w:t>
    </w:r>
    <w:r>
      <w:rPr>
        <w:b/>
        <w:bCs/>
        <w:sz w:val="24"/>
        <w:szCs w:val="24"/>
      </w:rPr>
      <w:t>, 2026 Kennesaw, GA</w:t>
    </w:r>
  </w:p>
  <w:p w14:paraId="4930C203" w14:textId="77777777" w:rsidR="00B65F05" w:rsidRDefault="00000000">
    <w:pPr>
      <w:spacing w:line="240" w:lineRule="auto"/>
      <w:jc w:val="center"/>
      <w:rPr>
        <w:b/>
        <w:bCs/>
        <w:sz w:val="24"/>
        <w:szCs w:val="24"/>
      </w:rPr>
    </w:pPr>
    <w:r>
      <w:rPr>
        <w:b/>
        <w:bCs/>
        <w:sz w:val="24"/>
        <w:szCs w:val="24"/>
      </w:rPr>
      <w:t xml:space="preserve">Email: </w:t>
    </w:r>
    <w:hyperlink r:id="rId2">
      <w:r w:rsidR="00B65F05">
        <w:rPr>
          <w:b/>
          <w:bCs/>
          <w:color w:val="1155CC"/>
          <w:sz w:val="24"/>
          <w:szCs w:val="24"/>
          <w:u w:val="single"/>
        </w:rPr>
        <w:t>ksuhsmun2526@gmail.com</w:t>
      </w:r>
    </w:hyperlink>
  </w:p>
  <w:p w14:paraId="6E8FB624" w14:textId="77777777" w:rsidR="00B65F05" w:rsidRDefault="00B65F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A7DD4"/>
    <w:multiLevelType w:val="multilevel"/>
    <w:tmpl w:val="F0220C0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051B0C"/>
    <w:multiLevelType w:val="multilevel"/>
    <w:tmpl w:val="B4F2398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20776282">
    <w:abstractNumId w:val="1"/>
  </w:num>
  <w:num w:numId="2" w16cid:durableId="237903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F05"/>
    <w:rsid w:val="00131E4D"/>
    <w:rsid w:val="002C6AB7"/>
    <w:rsid w:val="00434792"/>
    <w:rsid w:val="00A05036"/>
    <w:rsid w:val="00B65F05"/>
    <w:rsid w:val="00E66C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4AE4698"/>
  <w15:docId w15:val="{F723AFAF-F3D0-B04E-9279-44AB97AEC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outlineLvl w:val="1"/>
    </w:pPr>
    <w:rPr>
      <w:b/>
      <w:bCs/>
      <w:i/>
      <w:iC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mailto:ksuhsmun2024@g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r5R0S5xHy6h4YuePq3pp/qAUIg==">CgMxLjAyDmguY2Uxazg0azJyNWo3Mg5oLmxiYXR6M3FndXY1eDIOaC51ZW80YXh5Y293NmgyDmgubG1taXlxMnJ5aTl1Mg5oLnM2c2F5OXJ3ZGVuajIOaC42OWRudmlxbXkwdjIyDmgudHR5ZnByM3Zvc2U1Mg5oLmJsMTU3dWc0cWR1NTIOaC5qa25iOGZ1dXJ1emMyDmgucWR4MHdvbmJvcmoxOABqIQoUc3VnZ2VzdC41cTdibGNoeG44cjISCUJyaWFuYSBDQmohChRzdWdnZXN0LnZpMnNibmdkM3RsehIJQnJpYW5hIENCciExQTZVU0ZLdWVZeFVTSmpJWENYamRJZHFoa0FoeGN4al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4274</Words>
  <Characters>24108</Characters>
  <Application>Microsoft Office Word</Application>
  <DocSecurity>0</DocSecurity>
  <Lines>313</Lines>
  <Paragraphs>69</Paragraphs>
  <ScaleCrop>false</ScaleCrop>
  <Company/>
  <LinksUpToDate>false</LinksUpToDate>
  <CharactersWithSpaces>28313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Hauser</cp:lastModifiedBy>
  <cp:revision>4</cp:revision>
  <dcterms:created xsi:type="dcterms:W3CDTF">2026-01-15T13:01:00Z</dcterms:created>
  <dcterms:modified xsi:type="dcterms:W3CDTF">2026-01-15T13:18:00Z</dcterms:modified>
</cp:coreProperties>
</file>