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E1C1E" w14:textId="77777777" w:rsidR="00712469" w:rsidRDefault="00000000">
      <w:pPr>
        <w:rPr>
          <w:i/>
          <w:iCs/>
          <w:sz w:val="20"/>
          <w:szCs w:val="20"/>
        </w:rPr>
      </w:pPr>
      <w:r>
        <w:rPr>
          <w:i/>
          <w:iCs/>
          <w:sz w:val="20"/>
          <w:szCs w:val="20"/>
        </w:rPr>
        <w:t xml:space="preserve">Delegates, </w:t>
      </w:r>
    </w:p>
    <w:p w14:paraId="0389892A" w14:textId="77777777" w:rsidR="00712469" w:rsidRDefault="00712469">
      <w:pPr>
        <w:rPr>
          <w:i/>
          <w:iCs/>
          <w:sz w:val="20"/>
          <w:szCs w:val="20"/>
        </w:rPr>
      </w:pPr>
    </w:p>
    <w:p w14:paraId="4E5FB0B4" w14:textId="77777777" w:rsidR="00712469" w:rsidRDefault="00000000">
      <w:pPr>
        <w:ind w:firstLine="720"/>
        <w:rPr>
          <w:sz w:val="20"/>
          <w:szCs w:val="20"/>
        </w:rPr>
      </w:pPr>
      <w:r>
        <w:rPr>
          <w:sz w:val="20"/>
          <w:szCs w:val="20"/>
        </w:rPr>
        <w:t xml:space="preserve">Welcome to the 40th Annual Kennesaw State University High School Model United Nations conference, and to the International Telecommunications Council. My name is Kaan Cubukcu and I am pleased to be your Director for this year’s conference. I graduated from KSU with a B.S in Political Science and a Minor in International Affairs. I have had the privilege of being part of the KSU HSMUN staff since 2018 in roles such as Chair, Assistant Director, Director, as well as Secretary-General for the 37th Annual KSU HSMUN Conference; this conference will be my 8th consecutive year as staff. For those of you that have attended this conference previously, you may remember me from committees such as the International Atomic Energy Agency in 2024, and the World Health Organization in 2025. If you have not had the opportunity to attend my committees before, I hope you find it challenging, engaging, and memorable. I have a long track record with local and international organizations such as the Turkish Cultural Association, LB International Solutions, the Goethe Institute, and the German American Institute in Heidelberg. My appreciation and commitment to a rules based system, that presents all Member States the opportunity to develop solutions to their unique challenges, is absolute. It is for this reason I have dedicated myself to working with organizations that foster similar values, and why I am proud to continue showing up for students like you who have put in work, research, and practice to best represent their ideas before this committee. I look forward to meeting you all in committee and hearing your ideas for potential solutions. It is my pleasure to host the International Telecommunications Council. </w:t>
      </w:r>
    </w:p>
    <w:p w14:paraId="480AB5D1" w14:textId="77777777" w:rsidR="00712469" w:rsidRDefault="00000000">
      <w:pPr>
        <w:rPr>
          <w:sz w:val="20"/>
          <w:szCs w:val="20"/>
        </w:rPr>
      </w:pPr>
      <w:r>
        <w:rPr>
          <w:sz w:val="20"/>
          <w:szCs w:val="20"/>
        </w:rPr>
        <w:tab/>
        <w:t xml:space="preserve">The Assistant Director is Jonathan Lodge, he is in his sophomore year of college, majoring in Finance with a minor in French. After three wonderful years of attending Model UN in high school he is excited to come back and be one of your assistant directors for this committee. </w:t>
      </w:r>
    </w:p>
    <w:p w14:paraId="5DEDF741" w14:textId="77777777" w:rsidR="00712469" w:rsidRDefault="00712469">
      <w:pPr>
        <w:rPr>
          <w:sz w:val="20"/>
          <w:szCs w:val="20"/>
        </w:rPr>
      </w:pPr>
    </w:p>
    <w:p w14:paraId="0D335AC6" w14:textId="77777777" w:rsidR="00712469" w:rsidRDefault="00000000">
      <w:pPr>
        <w:ind w:left="-5" w:right="7"/>
        <w:rPr>
          <w:b/>
          <w:bCs/>
          <w:sz w:val="20"/>
          <w:szCs w:val="20"/>
        </w:rPr>
      </w:pPr>
      <w:r>
        <w:rPr>
          <w:b/>
          <w:bCs/>
          <w:sz w:val="20"/>
          <w:szCs w:val="20"/>
        </w:rPr>
        <w:t>The topics under discussion for the International Telecommunication Union Council are:</w:t>
      </w:r>
      <w:r>
        <w:rPr>
          <w:sz w:val="20"/>
          <w:szCs w:val="20"/>
        </w:rPr>
        <w:t xml:space="preserve">  </w:t>
      </w:r>
    </w:p>
    <w:p w14:paraId="062E0F76" w14:textId="77777777" w:rsidR="00712469" w:rsidRDefault="00000000">
      <w:pPr>
        <w:numPr>
          <w:ilvl w:val="0"/>
          <w:numId w:val="2"/>
        </w:numPr>
        <w:spacing w:line="276" w:lineRule="auto"/>
        <w:rPr>
          <w:b/>
          <w:bCs/>
          <w:sz w:val="20"/>
          <w:szCs w:val="20"/>
        </w:rPr>
      </w:pPr>
      <w:r>
        <w:rPr>
          <w:b/>
          <w:bCs/>
          <w:sz w:val="20"/>
          <w:szCs w:val="20"/>
        </w:rPr>
        <w:t>Regulating Artificial Intelligence in Global Telecommunications</w:t>
      </w:r>
    </w:p>
    <w:p w14:paraId="3013D7D1" w14:textId="77777777" w:rsidR="00712469" w:rsidRDefault="00000000">
      <w:pPr>
        <w:numPr>
          <w:ilvl w:val="0"/>
          <w:numId w:val="2"/>
        </w:numPr>
        <w:spacing w:after="240"/>
        <w:rPr>
          <w:b/>
          <w:bCs/>
          <w:sz w:val="20"/>
          <w:szCs w:val="20"/>
        </w:rPr>
      </w:pPr>
      <w:r>
        <w:rPr>
          <w:b/>
          <w:bCs/>
          <w:sz w:val="20"/>
          <w:szCs w:val="20"/>
        </w:rPr>
        <w:t>Preventing Cyber Espionage and Cyber Attacks in Global Telecommunications</w:t>
      </w:r>
    </w:p>
    <w:p w14:paraId="044B3E60" w14:textId="77777777" w:rsidR="00712469" w:rsidRDefault="00000000">
      <w:pPr>
        <w:rPr>
          <w:sz w:val="20"/>
          <w:szCs w:val="20"/>
        </w:rPr>
      </w:pPr>
      <w:r>
        <w:rPr>
          <w:sz w:val="20"/>
          <w:szCs w:val="20"/>
        </w:rPr>
        <w:t xml:space="preserve"> </w:t>
      </w:r>
      <w:r>
        <w:rPr>
          <w:sz w:val="20"/>
          <w:szCs w:val="20"/>
        </w:rPr>
        <w:tab/>
        <w:t xml:space="preserve">Each Member State delegation within this committee is expected to submit a position paper which covers both of the agenda topics. A position paper is a short essay describing your Member State’s history and position on the issues at hand. There are three key parts to any successful position paper: history, current status of the issue, and possible solutions for the future. Information for properly formatting the position papers, as well as valuable advice for writing a quality paper, can be found in the Delegate Preparation section of the HSMUN webpage (https://conference.kennesaw.edu/hsmun/). Delegates are reminded that papers should be no longer than two pages in length with titles in size 12 and text in size 10-12 Times New Roman. Citations should be footnoted in Chicago style formatting, such as those used inside this guide. Furthermore, plagiarism in an academic setting is unacceptable and will nullify any score for the paper in question. During the grading process, we will be utilizing the university’s plagiarism checker. Wikipedia is a wonderful place to begin researching, but we highly encourage the use of peer-reviewed academic articles or trusted media sources. The objective of a position paper is to present the diplomatic position of your Member State on both agenda topics as accurately as possible.  </w:t>
      </w:r>
      <w:r>
        <w:rPr>
          <w:b/>
          <w:bCs/>
          <w:i/>
          <w:iCs/>
          <w:sz w:val="20"/>
          <w:szCs w:val="20"/>
          <w:u w:val="single"/>
        </w:rPr>
        <w:t>All position papers MUST be sent to ksuhsmun2526@gmail.com by February 20th, 2026. Late papers will be accepted until February 25th, 2026 with points penalized.</w:t>
      </w:r>
    </w:p>
    <w:p w14:paraId="55A4AD5C" w14:textId="77777777" w:rsidR="00712469" w:rsidRDefault="00712469">
      <w:pPr>
        <w:rPr>
          <w:b/>
          <w:bCs/>
          <w:i/>
          <w:iCs/>
          <w:sz w:val="20"/>
          <w:szCs w:val="20"/>
          <w:u w:val="single"/>
        </w:rPr>
      </w:pPr>
    </w:p>
    <w:p w14:paraId="299B7D03" w14:textId="77777777" w:rsidR="00712469" w:rsidRDefault="00712469">
      <w:pPr>
        <w:rPr>
          <w:b/>
          <w:bCs/>
          <w:sz w:val="20"/>
          <w:szCs w:val="20"/>
        </w:rPr>
      </w:pPr>
    </w:p>
    <w:p w14:paraId="4D17A6B8" w14:textId="77777777" w:rsidR="00712469" w:rsidRDefault="00712469">
      <w:pPr>
        <w:rPr>
          <w:b/>
          <w:bCs/>
          <w:sz w:val="20"/>
          <w:szCs w:val="20"/>
        </w:rPr>
      </w:pPr>
    </w:p>
    <w:p w14:paraId="1F63B763" w14:textId="77777777" w:rsidR="00712469" w:rsidRDefault="00712469">
      <w:pPr>
        <w:rPr>
          <w:b/>
          <w:bCs/>
          <w:sz w:val="20"/>
          <w:szCs w:val="20"/>
        </w:rPr>
      </w:pPr>
    </w:p>
    <w:p w14:paraId="4F7F22F0" w14:textId="77777777" w:rsidR="00712469" w:rsidRDefault="00712469">
      <w:pPr>
        <w:rPr>
          <w:b/>
          <w:bCs/>
          <w:sz w:val="20"/>
          <w:szCs w:val="20"/>
        </w:rPr>
      </w:pPr>
    </w:p>
    <w:p w14:paraId="5B6C2016" w14:textId="77777777" w:rsidR="00712469" w:rsidRDefault="00712469">
      <w:pPr>
        <w:rPr>
          <w:b/>
          <w:bCs/>
          <w:sz w:val="20"/>
          <w:szCs w:val="20"/>
        </w:rPr>
      </w:pPr>
    </w:p>
    <w:p w14:paraId="5E17D018" w14:textId="77777777" w:rsidR="00712469" w:rsidRDefault="00712469">
      <w:pPr>
        <w:rPr>
          <w:b/>
          <w:bCs/>
          <w:sz w:val="20"/>
          <w:szCs w:val="20"/>
        </w:rPr>
      </w:pPr>
    </w:p>
    <w:p w14:paraId="52971C55" w14:textId="77777777" w:rsidR="00712469" w:rsidRDefault="00712469">
      <w:pPr>
        <w:rPr>
          <w:b/>
          <w:bCs/>
          <w:sz w:val="20"/>
          <w:szCs w:val="20"/>
        </w:rPr>
      </w:pPr>
    </w:p>
    <w:p w14:paraId="0A26CD23" w14:textId="77777777" w:rsidR="00712469" w:rsidRDefault="00712469">
      <w:pPr>
        <w:rPr>
          <w:b/>
          <w:bCs/>
          <w:sz w:val="20"/>
          <w:szCs w:val="20"/>
        </w:rPr>
      </w:pPr>
    </w:p>
    <w:p w14:paraId="0D986C8B" w14:textId="77777777" w:rsidR="00712469" w:rsidRDefault="00712469">
      <w:pPr>
        <w:rPr>
          <w:b/>
          <w:bCs/>
          <w:sz w:val="20"/>
          <w:szCs w:val="20"/>
        </w:rPr>
      </w:pPr>
    </w:p>
    <w:p w14:paraId="2B88C625" w14:textId="77777777" w:rsidR="00712469" w:rsidRDefault="00712469">
      <w:pPr>
        <w:rPr>
          <w:b/>
          <w:bCs/>
          <w:sz w:val="20"/>
          <w:szCs w:val="20"/>
        </w:rPr>
      </w:pPr>
    </w:p>
    <w:p w14:paraId="39265561" w14:textId="77777777" w:rsidR="00712469" w:rsidRDefault="00712469">
      <w:pPr>
        <w:rPr>
          <w:b/>
          <w:bCs/>
          <w:sz w:val="20"/>
          <w:szCs w:val="20"/>
        </w:rPr>
      </w:pPr>
    </w:p>
    <w:p w14:paraId="0EA63F36" w14:textId="77777777" w:rsidR="00712469" w:rsidRDefault="00712469">
      <w:pPr>
        <w:spacing w:before="200" w:after="200"/>
        <w:rPr>
          <w:b/>
          <w:bCs/>
          <w:sz w:val="24"/>
          <w:szCs w:val="24"/>
        </w:rPr>
      </w:pPr>
    </w:p>
    <w:p w14:paraId="1AD3AD59" w14:textId="77777777" w:rsidR="00712469" w:rsidRDefault="00000000">
      <w:pPr>
        <w:spacing w:before="200" w:after="200"/>
        <w:jc w:val="center"/>
        <w:rPr>
          <w:b/>
          <w:bCs/>
          <w:sz w:val="24"/>
          <w:szCs w:val="24"/>
        </w:rPr>
      </w:pPr>
      <w:r>
        <w:rPr>
          <w:b/>
          <w:bCs/>
          <w:sz w:val="24"/>
          <w:szCs w:val="24"/>
        </w:rPr>
        <w:t>History of the International Telecommunication Union Council</w:t>
      </w:r>
    </w:p>
    <w:p w14:paraId="45ADE1AF" w14:textId="77777777" w:rsidR="00712469" w:rsidRDefault="00712469">
      <w:pPr>
        <w:rPr>
          <w:b/>
          <w:bCs/>
          <w:i/>
          <w:iCs/>
          <w:sz w:val="20"/>
          <w:szCs w:val="20"/>
        </w:rPr>
      </w:pPr>
    </w:p>
    <w:p w14:paraId="3AB7D2D0" w14:textId="77777777" w:rsidR="00712469" w:rsidRDefault="00000000">
      <w:pPr>
        <w:rPr>
          <w:b/>
          <w:bCs/>
          <w:i/>
          <w:iCs/>
          <w:sz w:val="20"/>
          <w:szCs w:val="20"/>
        </w:rPr>
      </w:pPr>
      <w:r>
        <w:rPr>
          <w:b/>
          <w:bCs/>
          <w:i/>
          <w:iCs/>
          <w:sz w:val="20"/>
          <w:szCs w:val="20"/>
        </w:rPr>
        <w:t>Introduction</w:t>
      </w:r>
    </w:p>
    <w:p w14:paraId="391F400B" w14:textId="77777777" w:rsidR="00712469" w:rsidRDefault="00712469">
      <w:pPr>
        <w:rPr>
          <w:b/>
          <w:bCs/>
          <w:i/>
          <w:iCs/>
          <w:sz w:val="20"/>
          <w:szCs w:val="20"/>
        </w:rPr>
      </w:pPr>
    </w:p>
    <w:p w14:paraId="7EE8AE99" w14:textId="77777777" w:rsidR="00712469" w:rsidRDefault="00000000">
      <w:pPr>
        <w:ind w:firstLine="720"/>
        <w:rPr>
          <w:sz w:val="20"/>
          <w:szCs w:val="20"/>
        </w:rPr>
      </w:pPr>
      <w:r>
        <w:rPr>
          <w:sz w:val="20"/>
          <w:szCs w:val="20"/>
        </w:rPr>
        <w:t>The International Telecommunication Union (ITU) is made up of 194 Member States and is known as the oldest agency within the United Nations (UN), and second oldest intergovernmental organization in the world, being formed 160 years ago on May 17th, 1865.</w:t>
      </w:r>
      <w:r>
        <w:rPr>
          <w:sz w:val="20"/>
          <w:szCs w:val="20"/>
          <w:vertAlign w:val="superscript"/>
        </w:rPr>
        <w:footnoteReference w:id="1"/>
      </w:r>
      <w:r>
        <w:rPr>
          <w:sz w:val="20"/>
          <w:szCs w:val="20"/>
        </w:rPr>
        <w:t xml:space="preserve"> Historically, this organization was formed to bridge the gap in telegraphic networks between different Member States, but as time progressed, and technology continued to advance, the ITU was forced to broaden its technical support into various other forms of intergovernmental communication, such as facilitating the assigning of satellite orbits, the development of global technical standards, as well as improving upon the telecommunication infrastructure for Developing Member States.</w:t>
      </w:r>
      <w:r>
        <w:rPr>
          <w:sz w:val="20"/>
          <w:szCs w:val="20"/>
          <w:vertAlign w:val="superscript"/>
        </w:rPr>
        <w:footnoteReference w:id="2"/>
      </w:r>
      <w:r>
        <w:rPr>
          <w:sz w:val="20"/>
          <w:szCs w:val="20"/>
        </w:rPr>
        <w:t xml:space="preserve"> The ITU joined the UN as a specialized agency for the UN Systems on November 15th, 1947.</w:t>
      </w:r>
    </w:p>
    <w:p w14:paraId="3F7F2429" w14:textId="77777777" w:rsidR="00712469" w:rsidRDefault="00712469">
      <w:pPr>
        <w:ind w:firstLine="720"/>
        <w:rPr>
          <w:sz w:val="20"/>
          <w:szCs w:val="20"/>
        </w:rPr>
      </w:pPr>
    </w:p>
    <w:p w14:paraId="0B9B070C" w14:textId="77777777" w:rsidR="00712469" w:rsidRDefault="00000000">
      <w:pPr>
        <w:rPr>
          <w:b/>
          <w:bCs/>
          <w:i/>
          <w:iCs/>
          <w:sz w:val="20"/>
          <w:szCs w:val="20"/>
        </w:rPr>
      </w:pPr>
      <w:r>
        <w:rPr>
          <w:b/>
          <w:bCs/>
          <w:i/>
          <w:iCs/>
          <w:sz w:val="20"/>
          <w:szCs w:val="20"/>
        </w:rPr>
        <w:t>History of the ITU</w:t>
      </w:r>
    </w:p>
    <w:p w14:paraId="556A1C24" w14:textId="77777777" w:rsidR="00712469" w:rsidRDefault="00712469">
      <w:pPr>
        <w:rPr>
          <w:b/>
          <w:bCs/>
          <w:i/>
          <w:iCs/>
          <w:sz w:val="20"/>
          <w:szCs w:val="20"/>
        </w:rPr>
      </w:pPr>
    </w:p>
    <w:p w14:paraId="62C6878A" w14:textId="77777777" w:rsidR="00712469" w:rsidRDefault="00000000">
      <w:pPr>
        <w:ind w:firstLine="720"/>
        <w:rPr>
          <w:sz w:val="20"/>
          <w:szCs w:val="20"/>
        </w:rPr>
      </w:pPr>
      <w:r>
        <w:rPr>
          <w:sz w:val="20"/>
          <w:szCs w:val="20"/>
        </w:rPr>
        <w:t>As the first UN body to be organized, there is a vast array of history in this body dating back over a hundred and fifty years before the first charter was even signed. With the rapid growth of certain wavelength technologies in the nineteenth century, there became a need for a clear international agreement on this new technology. With communications like the telegraph crossing Member States territories, the need for translation, and operating within different Member States led to the first international telecommunication conference in 1865. The first conference set out to make things more streamlined and uniform, creating rules, and discussing ways to solve barriers to issues, as well as creating a framework for a later conference.</w:t>
      </w:r>
      <w:r>
        <w:rPr>
          <w:sz w:val="20"/>
          <w:szCs w:val="20"/>
          <w:vertAlign w:val="superscript"/>
        </w:rPr>
        <w:footnoteReference w:id="3"/>
      </w:r>
      <w:r>
        <w:rPr>
          <w:sz w:val="20"/>
          <w:szCs w:val="20"/>
        </w:rPr>
        <w:t xml:space="preserve"> Later in the nineteenth century, with advancements in telecommunications moving from the telegraph to the telephone, the convention's second meeting was to discuss these advancements and to create rules that would align with the first convention. Moving into the twentieth century, further advancements made to telecommunications led to a greater reliance on this body to make unified decisions on the technology. Things like the SOS signal, common wavelengths, and technologies were introduced to better advance safety for travel, especially at sea. The creation of the radio regulations in 1906 created a better understanding of the regulation of Member States regarding radio frequencies.</w:t>
      </w:r>
      <w:r>
        <w:rPr>
          <w:sz w:val="20"/>
          <w:szCs w:val="20"/>
          <w:vertAlign w:val="superscript"/>
        </w:rPr>
        <w:footnoteReference w:id="4"/>
      </w:r>
      <w:r>
        <w:rPr>
          <w:sz w:val="20"/>
          <w:szCs w:val="20"/>
        </w:rPr>
        <w:t xml:space="preserve"> The further advancement of technologies introduced committees such as the International Telegraph Consultative Committee (CCIT) as well as the International Radio Consultative Committee to unify and create new standards on telegraph and radio technologies.</w:t>
      </w:r>
      <w:r>
        <w:rPr>
          <w:sz w:val="20"/>
          <w:szCs w:val="20"/>
          <w:vertAlign w:val="superscript"/>
        </w:rPr>
        <w:footnoteReference w:id="5"/>
      </w:r>
    </w:p>
    <w:p w14:paraId="754A99A3" w14:textId="77777777" w:rsidR="00712469" w:rsidRDefault="00000000">
      <w:pPr>
        <w:ind w:firstLine="720"/>
        <w:rPr>
          <w:sz w:val="20"/>
          <w:szCs w:val="20"/>
        </w:rPr>
      </w:pPr>
      <w:r>
        <w:rPr>
          <w:sz w:val="20"/>
          <w:szCs w:val="20"/>
        </w:rPr>
        <w:t>In the post-World War II era, the ITU became a key part of the international order, officially entering the UN system on November 15th, 1949. The progress of the world moving towards satellite, and later on internet connectivity, became a critical part of this body as members had to agree on a fair way of distributing frequencies. When considering the internet, it was the ITU that spearheaded infrastructure and solidified standards for it, such as IPv6.</w:t>
      </w:r>
      <w:r>
        <w:rPr>
          <w:sz w:val="20"/>
          <w:szCs w:val="20"/>
          <w:vertAlign w:val="superscript"/>
        </w:rPr>
        <w:footnoteReference w:id="6"/>
      </w:r>
      <w:r>
        <w:rPr>
          <w:sz w:val="20"/>
          <w:szCs w:val="20"/>
        </w:rPr>
        <w:t xml:space="preserve"> Starting back in the nineteen fifties, this body started working with developing Member States to bridge the digital divide and ensure that everyone has equal access to connectivity. Multiple different projects, such as the Pan-African Telecommunications Network (PANAFTEL), the “ missing link’’ report, the World Summit on the information society (WSIS) forum</w:t>
      </w:r>
      <w:r>
        <w:rPr>
          <w:sz w:val="20"/>
          <w:szCs w:val="20"/>
          <w:vertAlign w:val="superscript"/>
        </w:rPr>
        <w:footnoteReference w:id="7"/>
      </w:r>
      <w:r>
        <w:rPr>
          <w:sz w:val="20"/>
          <w:szCs w:val="20"/>
        </w:rPr>
        <w:t>, and others were created to help with many goals, including cybersecurity, infrastructure developments, and many others. With this goal of helping developing Member States, the United Nations Development Programme (UNDP) was partly created by the ITU to help with the specific issue of helping developing Member States.</w:t>
      </w:r>
      <w:r>
        <w:rPr>
          <w:sz w:val="20"/>
          <w:szCs w:val="20"/>
          <w:vertAlign w:val="superscript"/>
        </w:rPr>
        <w:footnoteReference w:id="8"/>
      </w:r>
      <w:r>
        <w:rPr>
          <w:sz w:val="20"/>
          <w:szCs w:val="20"/>
        </w:rPr>
        <w:t xml:space="preserve"> Moving through the post-Cold War era, the ITU has continued to try and keep up with the progress of greater connectivity moving into the digital age. </w:t>
      </w:r>
    </w:p>
    <w:p w14:paraId="49F5009E" w14:textId="77777777" w:rsidR="00712469" w:rsidRDefault="00712469">
      <w:pPr>
        <w:ind w:firstLine="720"/>
        <w:rPr>
          <w:sz w:val="20"/>
          <w:szCs w:val="20"/>
        </w:rPr>
      </w:pPr>
    </w:p>
    <w:p w14:paraId="572597B8" w14:textId="77777777" w:rsidR="00712469" w:rsidRDefault="00000000">
      <w:pPr>
        <w:rPr>
          <w:b/>
          <w:bCs/>
          <w:i/>
          <w:iCs/>
          <w:sz w:val="20"/>
          <w:szCs w:val="20"/>
        </w:rPr>
      </w:pPr>
      <w:r>
        <w:rPr>
          <w:b/>
          <w:bCs/>
          <w:i/>
          <w:iCs/>
          <w:sz w:val="20"/>
          <w:szCs w:val="20"/>
        </w:rPr>
        <w:lastRenderedPageBreak/>
        <w:t>Introduction to the International Telecommunication Union Council</w:t>
      </w:r>
    </w:p>
    <w:p w14:paraId="583A6461" w14:textId="77777777" w:rsidR="00712469" w:rsidRDefault="00712469">
      <w:pPr>
        <w:rPr>
          <w:b/>
          <w:bCs/>
          <w:i/>
          <w:iCs/>
          <w:sz w:val="20"/>
          <w:szCs w:val="20"/>
          <w:shd w:val="clear" w:color="auto" w:fill="B4A7D6"/>
        </w:rPr>
      </w:pPr>
    </w:p>
    <w:p w14:paraId="5329C4B7" w14:textId="77777777" w:rsidR="00712469" w:rsidRDefault="00000000">
      <w:pPr>
        <w:rPr>
          <w:sz w:val="20"/>
          <w:szCs w:val="20"/>
        </w:rPr>
      </w:pPr>
      <w:r>
        <w:rPr>
          <w:b/>
          <w:bCs/>
          <w:sz w:val="20"/>
          <w:szCs w:val="20"/>
        </w:rPr>
        <w:tab/>
      </w:r>
      <w:r>
        <w:rPr>
          <w:sz w:val="20"/>
          <w:szCs w:val="20"/>
        </w:rPr>
        <w:t>The International Telecommunication Union Council (ITUC), however, is composed of 48 rotating Member States, which represent a fourth of the ITU, who are elected every four-year term. The membership of the committee is divided into five regions. Region A holds a total of 9 seats, which are reserved for representation from the Americas, Region B contains 8 seats for Western Europe, Region C is Eastern Europe and Northern Asia, only allowing 5 seats, Region D with 13 seats available for the Member States of Africa, and Region E with 13 seats as well, for Member States within Asia and Australasia.</w:t>
      </w:r>
      <w:r>
        <w:rPr>
          <w:sz w:val="20"/>
          <w:szCs w:val="20"/>
          <w:vertAlign w:val="superscript"/>
        </w:rPr>
        <w:footnoteReference w:id="9"/>
      </w:r>
      <w:r>
        <w:rPr>
          <w:sz w:val="20"/>
          <w:szCs w:val="20"/>
        </w:rPr>
        <w:t xml:space="preserve"> Voting Members within the ITUC are those who have been selected to represent within their region and have paid the required dues. The mission of the ITUC is to ensure that the UN Agency has a smooth execution of its mission through the review of policies and strategy issues, budget approvals and operational plans, and financial review and staff matters.</w:t>
      </w:r>
      <w:r>
        <w:rPr>
          <w:sz w:val="20"/>
          <w:szCs w:val="20"/>
          <w:vertAlign w:val="superscript"/>
        </w:rPr>
        <w:footnoteReference w:id="10"/>
      </w:r>
    </w:p>
    <w:p w14:paraId="046C7467" w14:textId="77777777" w:rsidR="00712469" w:rsidRDefault="00712469">
      <w:pPr>
        <w:rPr>
          <w:sz w:val="20"/>
          <w:szCs w:val="20"/>
        </w:rPr>
      </w:pPr>
    </w:p>
    <w:p w14:paraId="4FBA57AD" w14:textId="77777777" w:rsidR="00712469" w:rsidRDefault="00000000">
      <w:pPr>
        <w:rPr>
          <w:b/>
          <w:bCs/>
          <w:i/>
          <w:iCs/>
          <w:sz w:val="20"/>
          <w:szCs w:val="20"/>
        </w:rPr>
      </w:pPr>
      <w:r>
        <w:rPr>
          <w:b/>
          <w:bCs/>
          <w:i/>
          <w:iCs/>
          <w:sz w:val="20"/>
          <w:szCs w:val="20"/>
        </w:rPr>
        <w:t>History of the ITUC</w:t>
      </w:r>
    </w:p>
    <w:p w14:paraId="3AC273E5" w14:textId="77777777" w:rsidR="00712469" w:rsidRDefault="00712469">
      <w:pPr>
        <w:rPr>
          <w:b/>
          <w:bCs/>
          <w:i/>
          <w:iCs/>
          <w:sz w:val="20"/>
          <w:szCs w:val="20"/>
        </w:rPr>
      </w:pPr>
    </w:p>
    <w:p w14:paraId="50E4EF2F" w14:textId="77777777" w:rsidR="00712469" w:rsidRDefault="00000000">
      <w:pPr>
        <w:rPr>
          <w:sz w:val="20"/>
          <w:szCs w:val="20"/>
        </w:rPr>
      </w:pPr>
      <w:r>
        <w:rPr>
          <w:b/>
          <w:bCs/>
          <w:sz w:val="20"/>
          <w:szCs w:val="20"/>
        </w:rPr>
        <w:tab/>
      </w:r>
      <w:r>
        <w:rPr>
          <w:sz w:val="20"/>
          <w:szCs w:val="20"/>
        </w:rPr>
        <w:t xml:space="preserve">Before the creation of the International Telecommunication Union Council, it was preceded by the Administrative Council, which was formed in 1947, during their Plenipotentiary Conference in Atlantic City, New Jersey. The purpose of the formation of this Council was to facilitate the major restructuring of the intergovernmental organization upon its official becoming a specialized agency within the newborn United Nations. </w:t>
      </w:r>
    </w:p>
    <w:p w14:paraId="79B8B37D" w14:textId="77777777" w:rsidR="00712469" w:rsidRDefault="00712469">
      <w:pPr>
        <w:rPr>
          <w:sz w:val="20"/>
          <w:szCs w:val="20"/>
        </w:rPr>
      </w:pPr>
    </w:p>
    <w:p w14:paraId="3DCAC54F" w14:textId="77777777" w:rsidR="00712469" w:rsidRDefault="00000000">
      <w:pPr>
        <w:rPr>
          <w:b/>
          <w:bCs/>
          <w:i/>
          <w:iCs/>
          <w:sz w:val="20"/>
          <w:szCs w:val="20"/>
        </w:rPr>
      </w:pPr>
      <w:r>
        <w:rPr>
          <w:b/>
          <w:bCs/>
          <w:i/>
          <w:iCs/>
          <w:sz w:val="20"/>
          <w:szCs w:val="20"/>
        </w:rPr>
        <w:t>The Modern Setting</w:t>
      </w:r>
    </w:p>
    <w:p w14:paraId="27004E21" w14:textId="77777777" w:rsidR="00712469" w:rsidRDefault="00712469">
      <w:pPr>
        <w:rPr>
          <w:b/>
          <w:bCs/>
          <w:i/>
          <w:iCs/>
          <w:sz w:val="20"/>
          <w:szCs w:val="20"/>
        </w:rPr>
      </w:pPr>
    </w:p>
    <w:p w14:paraId="51C20714" w14:textId="77777777" w:rsidR="00712469" w:rsidRDefault="00000000">
      <w:pPr>
        <w:ind w:firstLine="720"/>
        <w:rPr>
          <w:sz w:val="20"/>
          <w:szCs w:val="20"/>
        </w:rPr>
      </w:pPr>
      <w:r>
        <w:rPr>
          <w:sz w:val="20"/>
          <w:szCs w:val="20"/>
        </w:rPr>
        <w:t xml:space="preserve">In the present day, the ITU is focused on many different goals, including the continued efforts of bridging the digital divide, making for a more equal digital communication space. The expansion of the internet has brought renewed effort to ensure a more accessible internet for everyone. With more accessibility comes efforts to make the internet a more insecure place, which is why it is one of the efforts of this body to ensure a quality of security, as well as recognizing the importance of protecting children from online harm. This body also promotes multilingualism through the internet and not domination by one group or power. The ITU is not only made up of one hundred and ninety-four Member States, but is also a place where the Private Sector </w:t>
      </w:r>
      <w:r>
        <w:rPr>
          <w:sz w:val="20"/>
          <w:szCs w:val="20"/>
          <w:vertAlign w:val="superscript"/>
        </w:rPr>
        <w:footnoteReference w:id="11"/>
      </w:r>
      <w:r>
        <w:rPr>
          <w:sz w:val="20"/>
          <w:szCs w:val="20"/>
        </w:rPr>
        <w:t>, and more recently, education institutions can have a voice in the policy of this body. More recently, the ITU has had more youth and women's women-oriented conventions where the voices of these groups have more accessibility and opportunity in the areas under the jurisdiction of the ITU.</w:t>
      </w:r>
      <w:r>
        <w:rPr>
          <w:sz w:val="20"/>
          <w:szCs w:val="20"/>
          <w:vertAlign w:val="superscript"/>
        </w:rPr>
        <w:footnoteReference w:id="12"/>
      </w:r>
      <w:r>
        <w:rPr>
          <w:sz w:val="20"/>
          <w:szCs w:val="20"/>
        </w:rPr>
        <w:t xml:space="preserve"> Further goals include a precedence on accessibility for disabled people and maintaining a leading voice in the improvement of standards for them. New technologies such as AI have been an example of a resource that the ITU maintains a watch on, as there are new expansions on this topic daily. </w:t>
      </w:r>
    </w:p>
    <w:p w14:paraId="1B9661DC" w14:textId="77777777" w:rsidR="00712469" w:rsidRDefault="00000000">
      <w:pPr>
        <w:ind w:firstLine="720"/>
        <w:rPr>
          <w:b/>
          <w:bCs/>
          <w:sz w:val="24"/>
          <w:szCs w:val="24"/>
        </w:rPr>
      </w:pPr>
      <w:r>
        <w:rPr>
          <w:sz w:val="20"/>
          <w:szCs w:val="20"/>
        </w:rPr>
        <w:t>The ITU continues to be a place to discuss and introduce new technologies, ensuring a fair and standard way of using them. It is the jurisdiction of the ITU to distribute wavelength frequencies and monitor satellite, radio, bandwidth, and telephone standards as they hold an importance to be reviewed and, if needed, updated to stay ahead of any potential disturbances with the mandate of this body.</w:t>
      </w:r>
      <w:r>
        <w:rPr>
          <w:sz w:val="20"/>
          <w:szCs w:val="20"/>
          <w:vertAlign w:val="superscript"/>
        </w:rPr>
        <w:footnoteReference w:id="13"/>
      </w:r>
      <w:r>
        <w:br w:type="page"/>
      </w:r>
    </w:p>
    <w:p w14:paraId="7334F55B" w14:textId="77777777" w:rsidR="00712469" w:rsidRDefault="00000000">
      <w:pPr>
        <w:numPr>
          <w:ilvl w:val="0"/>
          <w:numId w:val="1"/>
        </w:numPr>
        <w:jc w:val="center"/>
        <w:rPr>
          <w:b/>
          <w:bCs/>
          <w:sz w:val="24"/>
          <w:szCs w:val="24"/>
        </w:rPr>
      </w:pPr>
      <w:r>
        <w:rPr>
          <w:b/>
          <w:bCs/>
          <w:sz w:val="24"/>
          <w:szCs w:val="24"/>
        </w:rPr>
        <w:lastRenderedPageBreak/>
        <w:t>Regulating Artificial Intelligence in Global Telecommunications</w:t>
      </w:r>
    </w:p>
    <w:p w14:paraId="51B5AC5A" w14:textId="77777777" w:rsidR="00712469" w:rsidRDefault="00000000">
      <w:pPr>
        <w:rPr>
          <w:b/>
          <w:bCs/>
          <w:i/>
          <w:iCs/>
          <w:sz w:val="20"/>
          <w:szCs w:val="20"/>
        </w:rPr>
      </w:pPr>
      <w:r>
        <w:rPr>
          <w:b/>
          <w:bCs/>
          <w:i/>
          <w:iCs/>
          <w:sz w:val="20"/>
          <w:szCs w:val="20"/>
        </w:rPr>
        <w:t>Introduction</w:t>
      </w:r>
    </w:p>
    <w:p w14:paraId="41A1E21F" w14:textId="77777777" w:rsidR="00712469" w:rsidRDefault="00712469">
      <w:pPr>
        <w:rPr>
          <w:b/>
          <w:bCs/>
          <w:i/>
          <w:iCs/>
          <w:sz w:val="20"/>
          <w:szCs w:val="20"/>
        </w:rPr>
      </w:pPr>
    </w:p>
    <w:p w14:paraId="7A6C888A" w14:textId="77777777" w:rsidR="00712469" w:rsidRDefault="00000000">
      <w:pPr>
        <w:rPr>
          <w:sz w:val="20"/>
          <w:szCs w:val="20"/>
        </w:rPr>
      </w:pPr>
      <w:r>
        <w:rPr>
          <w:sz w:val="20"/>
          <w:szCs w:val="20"/>
        </w:rPr>
        <w:tab/>
        <w:t>Artificial Intelligence (AI) has seen rapid developments over the past few years. This has created a landscape where it is used on a global scale by many different actors in different ways. When looking at telecommunications, we have seen some of the most rapid adoptions of AI. Ranging from wireless connectivity to satellite communications, AI is now an integral part of Global communication. As AI has grown, there have been concerns that it can unfairly harm one Member State over the other. As the ITU has been trying to connect the world with a better communication infrastructure, AI is now seeing a similar path where more developed Member States are taking greater advantage of it, and less developed ones are being left out of the discussion. The ITU has long focused on fair treatment of technologies where all parties can benefit; AI should be no different. AI implementation has included greater efficiency on telecommunication infrastructure, reducing bandwidth and creating greater connectivity, including satellite, telecom, and other networks. The role of AI through this body can take many different forms as AI is not only used in telecommunications, but the ITU has been the lead voice in technical standards for new technology on a broad scale, influencing individual Member States, along with the private sector, to set the standard on many different technologies.</w:t>
      </w:r>
    </w:p>
    <w:p w14:paraId="30BF08B3" w14:textId="77777777" w:rsidR="00712469" w:rsidRDefault="00712469">
      <w:pPr>
        <w:ind w:firstLine="720"/>
        <w:rPr>
          <w:sz w:val="20"/>
          <w:szCs w:val="20"/>
        </w:rPr>
      </w:pPr>
    </w:p>
    <w:p w14:paraId="2BBD8A87" w14:textId="77777777" w:rsidR="00712469" w:rsidRDefault="00000000">
      <w:pPr>
        <w:rPr>
          <w:b/>
          <w:bCs/>
          <w:i/>
          <w:iCs/>
          <w:sz w:val="20"/>
          <w:szCs w:val="20"/>
        </w:rPr>
      </w:pPr>
      <w:r>
        <w:rPr>
          <w:b/>
          <w:bCs/>
          <w:i/>
          <w:iCs/>
          <w:sz w:val="20"/>
          <w:szCs w:val="20"/>
        </w:rPr>
        <w:t>History</w:t>
      </w:r>
    </w:p>
    <w:p w14:paraId="21782C2B" w14:textId="77777777" w:rsidR="00712469" w:rsidRDefault="00712469">
      <w:pPr>
        <w:rPr>
          <w:b/>
          <w:bCs/>
          <w:i/>
          <w:iCs/>
          <w:sz w:val="20"/>
          <w:szCs w:val="20"/>
        </w:rPr>
      </w:pPr>
    </w:p>
    <w:p w14:paraId="1A434045" w14:textId="77777777" w:rsidR="00712469" w:rsidRDefault="00000000">
      <w:pPr>
        <w:ind w:firstLine="720"/>
        <w:rPr>
          <w:sz w:val="20"/>
          <w:szCs w:val="20"/>
        </w:rPr>
      </w:pPr>
      <w:r>
        <w:rPr>
          <w:sz w:val="20"/>
          <w:szCs w:val="20"/>
        </w:rPr>
        <w:t xml:space="preserve">AI and the concepts of it can be traced back hundreds of years, but the modern interpretation of it first came into existence in the mid-twentieth century. With the introduction of early computing systems in the mid twentieth century, a surge of new technologies started to improve everyday tasks. Labor-intensive tasks such as complex calculations, supply chain management, and telecommunications all witnessed improvements, taking things like complex calculations down from minutes to seconds. The idea of AI became more widespread as computers were able to replace humans in tasks that they could only do before. This led to more innovations in computers to become more conscious, bringing a new field of technology into the mainstream. This has taken many forms over the years, expanding into telecommunications early on as it massively improved communications through different methods, such as taking the form of databases, complex algorithms, and more. AI started to become more involved as technology expanded, as there was a demand for human intelligence like computers. Examples of this include algorithms that can beat the best players in chess. With the further introduction of the internet, the sharing of information became more widespread, leading to a further renaissance in AI. </w:t>
      </w:r>
    </w:p>
    <w:p w14:paraId="210557F5" w14:textId="77777777" w:rsidR="00712469" w:rsidRDefault="00000000">
      <w:pPr>
        <w:ind w:firstLine="720"/>
        <w:rPr>
          <w:sz w:val="20"/>
          <w:szCs w:val="20"/>
        </w:rPr>
      </w:pPr>
      <w:r>
        <w:rPr>
          <w:sz w:val="20"/>
          <w:szCs w:val="20"/>
        </w:rPr>
        <w:t xml:space="preserve">AI in the past has also taken many different names, as calculations, telecommunications, data, and many other technological standards, all have a form of AI. The boom in technology over the years has seen the rapid growth of AI along with it, often with AI helping new technologies improve and become more efficient. This has led to things like automation that takes away human labor from a job, replacing it with a machine. Regulation towards this in the past has taken many different forms that range from many different ideas at the Member State level. In the early years of technology, less developed Member States did not benefit from the influence of AI, as technical infrastructure was not built up. Starting in the late twentieth century, the  ITU has been more involved in connecting the world, trying to make technological standards and infrastructure more available, and making the benefits of AI more available. This has also caused Member States to be taken advantage of, as they do not have as much control of this technology as larger Member States do. An example of this would include the use of AI to cause communications blackouts during times of crisis, like the invasion of Ukraine by Russia. The use of AI chatbots has gotten more creative as the introduction and popularity of them have become more relevant year over year. </w:t>
      </w:r>
    </w:p>
    <w:p w14:paraId="650C1104" w14:textId="77777777" w:rsidR="00712469" w:rsidRDefault="00712469">
      <w:pPr>
        <w:ind w:firstLine="720"/>
        <w:rPr>
          <w:sz w:val="20"/>
          <w:szCs w:val="20"/>
        </w:rPr>
      </w:pPr>
    </w:p>
    <w:p w14:paraId="1AF5BD71" w14:textId="77777777" w:rsidR="00712469" w:rsidRDefault="00000000">
      <w:pPr>
        <w:rPr>
          <w:b/>
          <w:bCs/>
          <w:i/>
          <w:iCs/>
          <w:sz w:val="20"/>
          <w:szCs w:val="20"/>
        </w:rPr>
      </w:pPr>
      <w:r>
        <w:rPr>
          <w:b/>
          <w:bCs/>
          <w:i/>
          <w:iCs/>
          <w:sz w:val="20"/>
          <w:szCs w:val="20"/>
        </w:rPr>
        <w:t>Current Situation</w:t>
      </w:r>
    </w:p>
    <w:p w14:paraId="60715C9C" w14:textId="77777777" w:rsidR="00712469" w:rsidRDefault="00712469">
      <w:pPr>
        <w:rPr>
          <w:b/>
          <w:bCs/>
          <w:i/>
          <w:iCs/>
          <w:sz w:val="20"/>
          <w:szCs w:val="20"/>
        </w:rPr>
      </w:pPr>
    </w:p>
    <w:p w14:paraId="77FAAE3A" w14:textId="77777777" w:rsidR="00712469" w:rsidRDefault="00000000">
      <w:pPr>
        <w:ind w:firstLine="720"/>
        <w:rPr>
          <w:sz w:val="20"/>
          <w:szCs w:val="20"/>
        </w:rPr>
      </w:pPr>
      <w:r>
        <w:rPr>
          <w:sz w:val="20"/>
          <w:szCs w:val="20"/>
        </w:rPr>
        <w:t xml:space="preserve">Today, with AI itself being the driver behind many technologies, the current landscape has it influencing every part of technological standards that are involved both in and outside of the ITU. AI today has been embedded into telecommunications networks, as the body that is directly involved with the regulation and influence of telecommunications, it is only natural that this body takes into consideration the role of AI. As an unregulated tool, AI has been taken advantage of as it can disrupt the transmission of data or further manipulate it, becoming a tool of misinformation that can be easily spread. With AI taking many different forms, it has made it more inefficient when regarding the standardization of communications that the ITU sets out to do. These inefficiencies have led to more developing Member States being left behind even further, causing an even greater divide in basic communications. </w:t>
      </w:r>
    </w:p>
    <w:p w14:paraId="66FAD3F0" w14:textId="77777777" w:rsidR="00712469" w:rsidRDefault="00000000">
      <w:pPr>
        <w:ind w:firstLine="720"/>
        <w:rPr>
          <w:sz w:val="20"/>
          <w:szCs w:val="20"/>
        </w:rPr>
      </w:pPr>
      <w:r>
        <w:rPr>
          <w:sz w:val="20"/>
          <w:szCs w:val="20"/>
        </w:rPr>
        <w:t xml:space="preserve">As a new phase of AI has been introduced in recent years, we have seen a large shift in rhetoric as it has improved on many different parts of the technology infrastructure. AI is now seen as a tool to be used in many </w:t>
      </w:r>
      <w:r>
        <w:rPr>
          <w:sz w:val="20"/>
          <w:szCs w:val="20"/>
        </w:rPr>
        <w:lastRenderedPageBreak/>
        <w:t>different people's daily lives. Large economies such as the US, China, and the EU have seen a big boost due to the emergence of this technology. To this day, however, a large number of sub-Saharan Member States and others do not have adequate connections to the internet, let alone AI. This has led to a barrier to entry as Member States benefitting from AI have the infrastructure, along with the expertise and knowledge behind this. Limited budgets and lack of education have also played a role in this divide, leading to global communications led by the ITU becoming more strained due to the lack of investment and recognition in today's technologies.</w:t>
      </w:r>
    </w:p>
    <w:p w14:paraId="3FA19B8B" w14:textId="77777777" w:rsidR="00712469" w:rsidRDefault="00000000">
      <w:pPr>
        <w:ind w:firstLine="720"/>
        <w:rPr>
          <w:sz w:val="20"/>
          <w:szCs w:val="20"/>
        </w:rPr>
      </w:pPr>
      <w:r>
        <w:rPr>
          <w:sz w:val="20"/>
          <w:szCs w:val="20"/>
        </w:rPr>
        <w:t xml:space="preserve">This technology today is evolving rapidly, leading to further pressure on Member States to adapt and implement quickly. This has led to infrastructure in AI not being built up to its full potential, leading to a culture of overpromising and underdelivering. This can be seen in telecommunications infrastructure, as the implementation to reduce bandwidth has not been able to meet its promised potential. This rapid expansion has led to a lot of different rules and regulations, leaving a gray area that some parties are taking advantage of. This has led to a new category of disinformation online, such as deepfakes that can lead to real-world consequences if used for malicious intent. This misinformation has been felt in the majority of Member States, as it can be used to create lies that spread false information and has been seen to influence politics and diplomacy. </w:t>
      </w:r>
    </w:p>
    <w:p w14:paraId="35D8F8EA" w14:textId="77777777" w:rsidR="00712469" w:rsidRDefault="00712469">
      <w:pPr>
        <w:ind w:firstLine="720"/>
        <w:rPr>
          <w:sz w:val="20"/>
          <w:szCs w:val="20"/>
        </w:rPr>
      </w:pPr>
    </w:p>
    <w:p w14:paraId="5FD2058B" w14:textId="77777777" w:rsidR="00712469" w:rsidRDefault="00000000">
      <w:pPr>
        <w:rPr>
          <w:b/>
          <w:bCs/>
          <w:i/>
          <w:iCs/>
          <w:sz w:val="20"/>
          <w:szCs w:val="20"/>
        </w:rPr>
      </w:pPr>
      <w:r>
        <w:rPr>
          <w:b/>
          <w:bCs/>
          <w:i/>
          <w:iCs/>
          <w:sz w:val="20"/>
          <w:szCs w:val="20"/>
        </w:rPr>
        <w:t>Actions Taken by the UN</w:t>
      </w:r>
    </w:p>
    <w:p w14:paraId="172B8BDA" w14:textId="77777777" w:rsidR="00712469" w:rsidRDefault="00712469">
      <w:pPr>
        <w:rPr>
          <w:b/>
          <w:bCs/>
          <w:i/>
          <w:iCs/>
          <w:sz w:val="20"/>
          <w:szCs w:val="20"/>
        </w:rPr>
      </w:pPr>
    </w:p>
    <w:p w14:paraId="7CA0E250" w14:textId="77777777" w:rsidR="00712469" w:rsidRDefault="00000000">
      <w:pPr>
        <w:ind w:firstLine="720"/>
        <w:rPr>
          <w:sz w:val="20"/>
          <w:szCs w:val="20"/>
        </w:rPr>
      </w:pPr>
      <w:r>
        <w:rPr>
          <w:sz w:val="20"/>
          <w:szCs w:val="20"/>
        </w:rPr>
        <w:t xml:space="preserve">The ITU has, in recent times, taken strides to discuss the topic of AI. Annual meetings such as the AI for good global summit hosted by the ITU and other UN bodies have brought Member States and organizations together to discuss many different topics involving AI, including desired standards and a database for the sharing of information. Further discussions on this topic have led the UN to identify three main topics of discussion on AI, including practical application, making solutions more widespread, and using AI for technical progress. The application of AI includes the further merging of AI into previous and new technical systems. This includes applying AI to telecommunications with further advancement into bandwidth, efficiencies, and other areas. This body can ensure that AI is used for clear and more broadly reaching communication standards that can continue to reach towards the UN’s goal of a more connected world. </w:t>
      </w:r>
    </w:p>
    <w:p w14:paraId="43171923" w14:textId="77777777" w:rsidR="00712469" w:rsidRDefault="00000000">
      <w:pPr>
        <w:ind w:firstLine="720"/>
        <w:rPr>
          <w:sz w:val="20"/>
          <w:szCs w:val="20"/>
        </w:rPr>
      </w:pPr>
      <w:r>
        <w:rPr>
          <w:sz w:val="20"/>
          <w:szCs w:val="20"/>
        </w:rPr>
        <w:t xml:space="preserve">This body has long been used as a tool to share information among bodies to help benefit states that are not as developed in technological infrastructure. As AI is improving, the ITU has attempted to catch up with the rapid advancements, creating a platform and databases to share information about this topic. The ITU has long been the main body for organizations to come together, standardizing and making solutions accessible for all. This has been seen with AI as Member States have started to agree on set standards that benefit all. These solutions are wide-reaching and agreed upon by Member States. The ITU has been the centralized power to advance technical progress to use the power of the UN to expand upon ideas that are not feasible otherwise. </w:t>
      </w:r>
    </w:p>
    <w:p w14:paraId="682C3A24" w14:textId="77777777" w:rsidR="00712469" w:rsidRDefault="00712469">
      <w:pPr>
        <w:rPr>
          <w:sz w:val="20"/>
          <w:szCs w:val="20"/>
        </w:rPr>
      </w:pPr>
    </w:p>
    <w:p w14:paraId="03BF5C89" w14:textId="77777777" w:rsidR="00712469" w:rsidRDefault="00000000">
      <w:pPr>
        <w:rPr>
          <w:b/>
          <w:bCs/>
          <w:i/>
          <w:iCs/>
          <w:sz w:val="20"/>
          <w:szCs w:val="20"/>
        </w:rPr>
      </w:pPr>
      <w:r>
        <w:rPr>
          <w:b/>
          <w:bCs/>
          <w:i/>
          <w:iCs/>
          <w:sz w:val="20"/>
          <w:szCs w:val="20"/>
        </w:rPr>
        <w:t>Conclusion</w:t>
      </w:r>
    </w:p>
    <w:p w14:paraId="5F4DA4FF" w14:textId="77777777" w:rsidR="00712469" w:rsidRDefault="00712469">
      <w:pPr>
        <w:rPr>
          <w:b/>
          <w:bCs/>
          <w:i/>
          <w:iCs/>
          <w:sz w:val="20"/>
          <w:szCs w:val="20"/>
        </w:rPr>
      </w:pPr>
    </w:p>
    <w:p w14:paraId="40BFB170" w14:textId="77777777" w:rsidR="00712469" w:rsidRDefault="00000000">
      <w:pPr>
        <w:rPr>
          <w:sz w:val="20"/>
          <w:szCs w:val="20"/>
        </w:rPr>
      </w:pPr>
      <w:r>
        <w:rPr>
          <w:sz w:val="20"/>
          <w:szCs w:val="20"/>
        </w:rPr>
        <w:tab/>
        <w:t xml:space="preserve">With many different influences of AI in the global communications world, it is clear that the lack of regulations has led to misinformation and a greater digital divide. The ITU has set out to bring in the international community through various ways, including annual conferences, to discuss this. As a technology that has only recently been introduced into the mainstream, there is still a lot to adapt and learn from it. This body, over its long history of standardizing communications and setting standards for other technologies, has seen the introduction of AI as another stepping stone in the innovation of technologies. With many different rules and regulations currently in place, there has been a large amount of false information and redundancies through it, as well as false promises that have led to less productive output from this sector. The future of AI is something that is to be discussed by this body as it is a leading voice in the technology sector, both for innovation, connectivity, and regulation. </w:t>
      </w:r>
    </w:p>
    <w:p w14:paraId="1506F79F" w14:textId="77777777" w:rsidR="00712469" w:rsidRDefault="00712469">
      <w:pPr>
        <w:rPr>
          <w:sz w:val="20"/>
          <w:szCs w:val="20"/>
        </w:rPr>
      </w:pPr>
    </w:p>
    <w:p w14:paraId="475651BF" w14:textId="77777777" w:rsidR="00712469" w:rsidRDefault="00000000">
      <w:pPr>
        <w:rPr>
          <w:b/>
          <w:bCs/>
          <w:i/>
          <w:iCs/>
          <w:sz w:val="20"/>
          <w:szCs w:val="20"/>
        </w:rPr>
      </w:pPr>
      <w:r>
        <w:rPr>
          <w:b/>
          <w:bCs/>
          <w:i/>
          <w:iCs/>
          <w:sz w:val="20"/>
          <w:szCs w:val="20"/>
        </w:rPr>
        <w:t>Committee Directive</w:t>
      </w:r>
    </w:p>
    <w:p w14:paraId="558AF510" w14:textId="77777777" w:rsidR="00712469" w:rsidRDefault="00712469">
      <w:pPr>
        <w:rPr>
          <w:b/>
          <w:bCs/>
          <w:i/>
          <w:iCs/>
          <w:sz w:val="20"/>
          <w:szCs w:val="20"/>
        </w:rPr>
      </w:pPr>
    </w:p>
    <w:p w14:paraId="4EE83723" w14:textId="77777777" w:rsidR="00712469" w:rsidRDefault="00000000">
      <w:pPr>
        <w:rPr>
          <w:b/>
          <w:bCs/>
          <w:sz w:val="20"/>
          <w:szCs w:val="20"/>
        </w:rPr>
      </w:pPr>
      <w:r>
        <w:rPr>
          <w:sz w:val="20"/>
          <w:szCs w:val="20"/>
        </w:rPr>
        <w:tab/>
        <w:t xml:space="preserve">Member States in the ITUC must consider the continued challenge of the digital divide, as Member States still do not have full access to the benefits of AI. Furthermore, this body must address the problems with the lack of regulation of AI in the technology sector, and must further address this topic as it is continuing to expand into new areas of communications. This body also has the responsibility of maintaining strong and equitable communications throughout the world, ensuring that all Member States get fair access to new technologies. This body must maintain its stance as a leading voice in new technologies, discussing AI as a tool to help Member States and as something that can be further developed. It is the responsibility of this body to have AI be a shared resource for all to use, to make sure that a common goal is met, and it cannot be used as a weapon, but as a tool in further communication. </w:t>
      </w:r>
      <w:r>
        <w:br w:type="page"/>
      </w:r>
    </w:p>
    <w:p w14:paraId="3D9808C4" w14:textId="77777777" w:rsidR="00712469" w:rsidRDefault="00000000">
      <w:pPr>
        <w:numPr>
          <w:ilvl w:val="0"/>
          <w:numId w:val="1"/>
        </w:numPr>
        <w:spacing w:after="240"/>
        <w:ind w:left="1080"/>
        <w:rPr>
          <w:b/>
          <w:bCs/>
          <w:sz w:val="24"/>
          <w:szCs w:val="24"/>
        </w:rPr>
      </w:pPr>
      <w:r>
        <w:rPr>
          <w:b/>
          <w:bCs/>
          <w:sz w:val="24"/>
          <w:szCs w:val="24"/>
        </w:rPr>
        <w:lastRenderedPageBreak/>
        <w:t>Preventing Cyber Espionage and Cyber Attacks in Global Telecommunications</w:t>
      </w:r>
    </w:p>
    <w:p w14:paraId="0C9512E2" w14:textId="77777777" w:rsidR="00712469" w:rsidRDefault="00000000">
      <w:pPr>
        <w:rPr>
          <w:b/>
          <w:bCs/>
          <w:i/>
          <w:iCs/>
          <w:sz w:val="20"/>
          <w:szCs w:val="20"/>
        </w:rPr>
      </w:pPr>
      <w:r>
        <w:rPr>
          <w:b/>
          <w:bCs/>
          <w:i/>
          <w:iCs/>
          <w:sz w:val="20"/>
          <w:szCs w:val="20"/>
        </w:rPr>
        <w:t xml:space="preserve">Introduction </w:t>
      </w:r>
    </w:p>
    <w:p w14:paraId="4E022D1C" w14:textId="77777777" w:rsidR="00712469" w:rsidRDefault="00712469">
      <w:pPr>
        <w:rPr>
          <w:b/>
          <w:bCs/>
          <w:i/>
          <w:iCs/>
          <w:sz w:val="20"/>
          <w:szCs w:val="20"/>
        </w:rPr>
      </w:pPr>
    </w:p>
    <w:p w14:paraId="4489702D" w14:textId="77777777" w:rsidR="00712469" w:rsidRDefault="00000000">
      <w:pPr>
        <w:rPr>
          <w:sz w:val="20"/>
          <w:szCs w:val="20"/>
        </w:rPr>
      </w:pPr>
      <w:r>
        <w:rPr>
          <w:b/>
          <w:bCs/>
          <w:i/>
          <w:iCs/>
          <w:sz w:val="20"/>
          <w:szCs w:val="20"/>
        </w:rPr>
        <w:tab/>
      </w:r>
      <w:r>
        <w:rPr>
          <w:sz w:val="20"/>
          <w:szCs w:val="20"/>
        </w:rPr>
        <w:t>In an era marked by rapid digitalization and global connectivity, the international stage faces increasing risks of cyber espionage and cyber attacks that target telecommunications infrastructure. As Member States, major corporations, and citizens rely deeply on technologically complex networks for communication, commerce, governance, and security, malicious actors have been granted new avenues to compromise and gain access to sensitive data, cause major disruptions within critical services, and attempt to undermine international stability. Telecommunications infrastructure now functions as critical infrastructure, meaning that attacks on these systems can directly endanger public safety, economic continuity, and national sovereignty. The International Telecommunication Union Council, as the United Nations specialized agency for information and communication technologies, stands at the forefront of efforts to strengthen international cyber resilience, propose unifying standards, and foster cooperation between Member States. Addressing the growing sophistication and frequency of cyber threats has therefore become essential to safeguarding the integrity, reliability, and trustworthiness of global telecommunications systems.</w:t>
      </w:r>
    </w:p>
    <w:p w14:paraId="67A1427D" w14:textId="77777777" w:rsidR="00712469" w:rsidRDefault="00712469">
      <w:pPr>
        <w:rPr>
          <w:b/>
          <w:bCs/>
          <w:i/>
          <w:iCs/>
          <w:sz w:val="20"/>
          <w:szCs w:val="20"/>
        </w:rPr>
      </w:pPr>
    </w:p>
    <w:p w14:paraId="3080B4F0" w14:textId="77777777" w:rsidR="00712469" w:rsidRDefault="00000000">
      <w:pPr>
        <w:rPr>
          <w:b/>
          <w:bCs/>
          <w:i/>
          <w:iCs/>
          <w:sz w:val="20"/>
          <w:szCs w:val="20"/>
        </w:rPr>
      </w:pPr>
      <w:r>
        <w:rPr>
          <w:b/>
          <w:bCs/>
          <w:i/>
          <w:iCs/>
          <w:sz w:val="20"/>
          <w:szCs w:val="20"/>
        </w:rPr>
        <w:t>History</w:t>
      </w:r>
    </w:p>
    <w:p w14:paraId="54AA3ADF" w14:textId="77777777" w:rsidR="00712469" w:rsidRDefault="00712469">
      <w:pPr>
        <w:rPr>
          <w:b/>
          <w:bCs/>
          <w:i/>
          <w:iCs/>
          <w:sz w:val="20"/>
          <w:szCs w:val="20"/>
        </w:rPr>
      </w:pPr>
    </w:p>
    <w:p w14:paraId="21A15521" w14:textId="77777777" w:rsidR="00712469" w:rsidRDefault="00000000">
      <w:pPr>
        <w:rPr>
          <w:sz w:val="20"/>
          <w:szCs w:val="20"/>
        </w:rPr>
      </w:pPr>
      <w:r>
        <w:rPr>
          <w:sz w:val="20"/>
          <w:szCs w:val="20"/>
        </w:rPr>
        <w:tab/>
        <w:t>The history of modern cyber threats resides in the early stages of electronic computers, machines originally built with the intentions of use for wartime intelligence and scientific calculations. Among the earliest of these was Colossus, created in Britain during World War II to decipher German encrypted communications. It became operational by early 1944, using vacuum tubes, Boolean logic, and configurable wiring to capture and process any intercepted message, which proved to be a powerful demonstration of how computation could assist in cryptanalysis and intelligence work.</w:t>
      </w:r>
      <w:r>
        <w:rPr>
          <w:sz w:val="20"/>
          <w:szCs w:val="20"/>
          <w:vertAlign w:val="superscript"/>
        </w:rPr>
        <w:footnoteReference w:id="14"/>
      </w:r>
      <w:r>
        <w:rPr>
          <w:sz w:val="20"/>
          <w:szCs w:val="20"/>
        </w:rPr>
        <w:t xml:space="preserve"> ENIAC, the Electronic Numerical Integrator And Computer, was completed in 1945 and became the first programmable, general-purpose electronic digital computer. ENIAC utilized over 18,000 vacuum tubes, consumed enormous amounts of power, and occupied a large room.</w:t>
      </w:r>
      <w:r>
        <w:rPr>
          <w:sz w:val="20"/>
          <w:szCs w:val="20"/>
          <w:vertAlign w:val="superscript"/>
        </w:rPr>
        <w:footnoteReference w:id="15"/>
      </w:r>
      <w:r>
        <w:rPr>
          <w:sz w:val="20"/>
          <w:szCs w:val="20"/>
        </w:rPr>
        <w:t xml:space="preserve"> Yet it was capable of performing thousands of calculations per second and could be reconfigured to tackle a wide range of numerical tasks.</w:t>
      </w:r>
    </w:p>
    <w:p w14:paraId="454B9DD7" w14:textId="77777777" w:rsidR="00712469" w:rsidRDefault="00000000">
      <w:pPr>
        <w:ind w:firstLine="720"/>
        <w:rPr>
          <w:sz w:val="20"/>
          <w:szCs w:val="20"/>
        </w:rPr>
      </w:pPr>
      <w:r>
        <w:rPr>
          <w:sz w:val="20"/>
          <w:szCs w:val="20"/>
        </w:rPr>
        <w:t>Following World War III, technology saw a transition from specialized machines to commercially available computing systems. The UNIVAC I was developed and produced in 1951 as the first commercially available general-purpose computer, marking a significant milestone in the transition of computing from research and military labs to broader institutional and governmental use. However, the most revolutionary advancements in global telecommunications, and by extension, cyber espionage and cyber attacks, came in the late 1960s with ARPANET. Launched in 1969, the Advanced Research Projects Agency Network (ARPANET) connected multiple universities and research institutions using a method known as packet switching. This method breaks data into small packets for transmission and reassembles them at the destination.</w:t>
      </w:r>
      <w:r>
        <w:rPr>
          <w:sz w:val="20"/>
          <w:szCs w:val="20"/>
          <w:vertAlign w:val="superscript"/>
        </w:rPr>
        <w:footnoteReference w:id="16"/>
      </w:r>
      <w:r>
        <w:rPr>
          <w:sz w:val="20"/>
          <w:szCs w:val="20"/>
        </w:rPr>
        <w:t xml:space="preserve"> This network established the first long-range computer-to-computer communications, introducing an architecture of distributed connectivity rather than centralized, fixed connections. This design became the foundation of the modern Internet and the basis of the global telecommunications setting.</w:t>
      </w:r>
    </w:p>
    <w:p w14:paraId="00F32C8F" w14:textId="77777777" w:rsidR="00712469" w:rsidRDefault="00000000">
      <w:pPr>
        <w:ind w:firstLine="720"/>
        <w:rPr>
          <w:sz w:val="20"/>
          <w:szCs w:val="20"/>
        </w:rPr>
      </w:pPr>
      <w:r>
        <w:rPr>
          <w:sz w:val="20"/>
          <w:szCs w:val="20"/>
        </w:rPr>
        <w:t>Through these advancements from specialized cryptanalysis machines to a pioneering packet-switching network, the technical infrastructure created enables global digital communication. That same infrastructure, however, also allows actors, state and non-state, to exploit, infiltrate, and manipulate data across borders and systems, making cyber espionage and attacks a fundamental concern for international telecommunications governance. Early incidents of cyber espionage and attacks, such as Markus Hess’ infiltration into critical military systems</w:t>
      </w:r>
      <w:r>
        <w:rPr>
          <w:sz w:val="20"/>
          <w:szCs w:val="20"/>
          <w:vertAlign w:val="superscript"/>
        </w:rPr>
        <w:footnoteReference w:id="17"/>
      </w:r>
      <w:r>
        <w:rPr>
          <w:sz w:val="20"/>
          <w:szCs w:val="20"/>
        </w:rPr>
        <w:t>, and the 1988 Morris Worm</w:t>
      </w:r>
      <w:r>
        <w:rPr>
          <w:sz w:val="20"/>
          <w:szCs w:val="20"/>
          <w:vertAlign w:val="superscript"/>
        </w:rPr>
        <w:footnoteReference w:id="18"/>
      </w:r>
      <w:r>
        <w:rPr>
          <w:sz w:val="20"/>
          <w:szCs w:val="20"/>
        </w:rPr>
        <w:t xml:space="preserve">, demonstrated how swiftly malicious actors could find exploitations within expanding networks, prompting governments to recognize cyber intrusions as matters of national security. By the </w:t>
      </w:r>
      <w:r>
        <w:rPr>
          <w:sz w:val="20"/>
          <w:szCs w:val="20"/>
        </w:rPr>
        <w:lastRenderedPageBreak/>
        <w:t>1990s, as telecommunications infrastructure globalized, state-sponsored operations, such as the “Midnight Maze” and “Titan Rain,” signaled a paradigm shift from isolated breaches to orchestrated cyber espionage campaigns targeting sensitive governmental, military, and scientific information. This evolution marked the point at which cyber operations became an enduring instrument of state power, firmly embedding cybersecurity concerns within the broader framework of international telecommunications governance.</w:t>
      </w:r>
    </w:p>
    <w:p w14:paraId="0C010933" w14:textId="77777777" w:rsidR="00712469" w:rsidRDefault="00712469">
      <w:pPr>
        <w:rPr>
          <w:sz w:val="20"/>
          <w:szCs w:val="20"/>
        </w:rPr>
      </w:pPr>
    </w:p>
    <w:p w14:paraId="1ECA9331" w14:textId="77777777" w:rsidR="00712469" w:rsidRDefault="00000000">
      <w:pPr>
        <w:rPr>
          <w:b/>
          <w:bCs/>
          <w:i/>
          <w:iCs/>
          <w:sz w:val="20"/>
          <w:szCs w:val="20"/>
        </w:rPr>
      </w:pPr>
      <w:r>
        <w:rPr>
          <w:b/>
          <w:bCs/>
          <w:i/>
          <w:iCs/>
          <w:sz w:val="20"/>
          <w:szCs w:val="20"/>
        </w:rPr>
        <w:t xml:space="preserve">Current Situation </w:t>
      </w:r>
    </w:p>
    <w:p w14:paraId="5C7D7D7A" w14:textId="77777777" w:rsidR="00712469" w:rsidRDefault="00000000">
      <w:pPr>
        <w:spacing w:before="240" w:after="240"/>
        <w:ind w:firstLine="720"/>
        <w:rPr>
          <w:sz w:val="20"/>
          <w:szCs w:val="20"/>
        </w:rPr>
      </w:pPr>
      <w:r>
        <w:rPr>
          <w:sz w:val="20"/>
          <w:szCs w:val="20"/>
        </w:rPr>
        <w:t>Entering the 21st century, cyber operations advanced rapidly, transforming global telecommunications into both a vital pillar of modern life and a primary target for increasingly sophisticated digital threats. As Member States, corporations, and individuals continue to rely on interconnected communication networks, telecommunications infrastructure has become deeply embedded within financial systems, public safety operations, diplomatic communications, and critical government functions. This expansion has introduced unprecedented vulnerabilities, as the scale and complexity of these networks make comprehensive protection increasingly difficult. In recent years, cyber espionage and cyber attacks against telecommunications providers have grown in both frequency and complexity, with malicious actors seeking not only to steal sensitive data, but also to compromise, manipulate, or disrupt the systems that enable global connectivity.</w:t>
      </w:r>
      <w:r>
        <w:rPr>
          <w:sz w:val="20"/>
          <w:szCs w:val="20"/>
          <w:vertAlign w:val="superscript"/>
        </w:rPr>
        <w:footnoteReference w:id="19"/>
      </w:r>
    </w:p>
    <w:p w14:paraId="55439C21" w14:textId="77777777" w:rsidR="00712469" w:rsidRDefault="00000000">
      <w:pPr>
        <w:spacing w:before="240" w:after="240"/>
        <w:ind w:firstLine="720"/>
        <w:rPr>
          <w:sz w:val="20"/>
          <w:szCs w:val="20"/>
        </w:rPr>
      </w:pPr>
      <w:r>
        <w:rPr>
          <w:sz w:val="20"/>
          <w:szCs w:val="20"/>
        </w:rPr>
        <w:t>Recent years have seen a marked increase in attacks targeting mobile networks, satellite communications, undersea fiber-optic cables, and emerging 5G infrastructure, all of which are essential to international data transmission.</w:t>
      </w:r>
      <w:r>
        <w:rPr>
          <w:sz w:val="20"/>
          <w:szCs w:val="20"/>
          <w:vertAlign w:val="superscript"/>
        </w:rPr>
        <w:footnoteReference w:id="20"/>
      </w:r>
      <w:r>
        <w:rPr>
          <w:sz w:val="20"/>
          <w:szCs w:val="20"/>
        </w:rPr>
        <w:t xml:space="preserve"> Telecommunications equipment has been exploited to enable covert surveillance, intercept metadata, and facilitate long-term espionage campaigns that may persist undetected for years.</w:t>
      </w:r>
      <w:r>
        <w:rPr>
          <w:sz w:val="20"/>
          <w:szCs w:val="20"/>
          <w:vertAlign w:val="superscript"/>
        </w:rPr>
        <w:footnoteReference w:id="21"/>
      </w:r>
      <w:r>
        <w:rPr>
          <w:sz w:val="20"/>
          <w:szCs w:val="20"/>
        </w:rPr>
        <w:t xml:space="preserve"> At the same time, ransomware attacks and distributed denial-of-service (DDoS) operations launched by cybercriminal groups have caused widespread service outages, resulting in significant economic losses and erosion of public trust in digital services.</w:t>
      </w:r>
      <w:r>
        <w:rPr>
          <w:sz w:val="20"/>
          <w:szCs w:val="20"/>
          <w:vertAlign w:val="superscript"/>
        </w:rPr>
        <w:footnoteReference w:id="22"/>
      </w:r>
      <w:r>
        <w:rPr>
          <w:sz w:val="20"/>
          <w:szCs w:val="20"/>
        </w:rPr>
        <w:t xml:space="preserve"> The globalization of telecommunications supply chains further complicates these challenges, as vulnerabilities may be introduced through hardware components, software updates, or maintenance processes that span multiple Member States and regulatory environments.</w:t>
      </w:r>
    </w:p>
    <w:p w14:paraId="1DC98850" w14:textId="77777777" w:rsidR="00712469" w:rsidRDefault="00000000">
      <w:pPr>
        <w:spacing w:before="240" w:after="240"/>
        <w:ind w:firstLine="720"/>
        <w:rPr>
          <w:b/>
          <w:bCs/>
          <w:i/>
          <w:iCs/>
          <w:sz w:val="20"/>
          <w:szCs w:val="20"/>
        </w:rPr>
      </w:pPr>
      <w:r>
        <w:rPr>
          <w:sz w:val="20"/>
          <w:szCs w:val="20"/>
        </w:rPr>
        <w:t>Disparities in cybersecurity capacity between developed and developing States further exacerbate the problem. Many countries lack the technical expertise, regulatory frameworks, or financial resources necessary to adequately protect their telecommunications infrastructure or respond effectively to cyber incidents. This unevenness creates weak points within the global network, as attackers can exploit less-secure systems to gain access to broader international communications or use compromised infrastructure as staging grounds for further attacks. Consequently, cyber threats to telecommunications are no longer confined by national borders, underscoring the urgent need for coordinated international responses, shared technical standards, and capacity-building initiatives through multilateral institutions such as the International Telecommunication Union.</w:t>
      </w:r>
    </w:p>
    <w:p w14:paraId="577F353C" w14:textId="77777777" w:rsidR="00712469" w:rsidRDefault="00000000">
      <w:pPr>
        <w:rPr>
          <w:sz w:val="20"/>
          <w:szCs w:val="20"/>
        </w:rPr>
      </w:pPr>
      <w:r>
        <w:rPr>
          <w:sz w:val="20"/>
          <w:szCs w:val="20"/>
        </w:rPr>
        <w:tab/>
      </w:r>
    </w:p>
    <w:p w14:paraId="462A2646" w14:textId="77777777" w:rsidR="00712469" w:rsidRDefault="00000000">
      <w:pPr>
        <w:rPr>
          <w:b/>
          <w:bCs/>
          <w:i/>
          <w:iCs/>
          <w:sz w:val="20"/>
          <w:szCs w:val="20"/>
        </w:rPr>
      </w:pPr>
      <w:r>
        <w:rPr>
          <w:b/>
          <w:bCs/>
          <w:i/>
          <w:iCs/>
          <w:sz w:val="20"/>
          <w:szCs w:val="20"/>
        </w:rPr>
        <w:t>Actions Taken by the UN</w:t>
      </w:r>
    </w:p>
    <w:p w14:paraId="5A0B1F59" w14:textId="77777777" w:rsidR="00712469" w:rsidRDefault="00712469">
      <w:pPr>
        <w:rPr>
          <w:b/>
          <w:bCs/>
          <w:i/>
          <w:iCs/>
          <w:sz w:val="20"/>
          <w:szCs w:val="20"/>
        </w:rPr>
      </w:pPr>
    </w:p>
    <w:p w14:paraId="77BE83F4" w14:textId="77777777" w:rsidR="00712469" w:rsidRDefault="00000000">
      <w:pPr>
        <w:rPr>
          <w:sz w:val="20"/>
          <w:szCs w:val="20"/>
        </w:rPr>
      </w:pPr>
      <w:r>
        <w:rPr>
          <w:sz w:val="20"/>
          <w:szCs w:val="20"/>
        </w:rPr>
        <w:tab/>
        <w:t>The United Nations has increasingly recognized cyber threats to telecommunications as a serious risk to international peace and security. Within the UN system, the ITU has taken a leading role in addressing these challenges by promoting secure and resilient telecommunications infrastructure. One of its most significant initiatives is the Global Cybersecurity Agenda (GCA), launched in 2007, which provides a comprehensive framework for addressing cybersecurity through legal, technical, organizational, and cooperative measures.</w:t>
      </w:r>
      <w:r>
        <w:rPr>
          <w:sz w:val="20"/>
          <w:szCs w:val="20"/>
          <w:vertAlign w:val="superscript"/>
        </w:rPr>
        <w:footnoteReference w:id="23"/>
      </w:r>
      <w:r>
        <w:rPr>
          <w:sz w:val="20"/>
          <w:szCs w:val="20"/>
        </w:rPr>
        <w:t xml:space="preserve"> The </w:t>
      </w:r>
      <w:r>
        <w:rPr>
          <w:sz w:val="20"/>
          <w:szCs w:val="20"/>
        </w:rPr>
        <w:lastRenderedPageBreak/>
        <w:t>GCA emphasizes the importance of harmonizing national laws, strengthening technical standards, and fostering international collaboration to counter cyber threats effectively. To support these goals, the ITU has developed tools such as the Global Cybersecurity Index (GCI), which evaluates Member States’ commitment to cybersecurity based on legal frameworks, technical capacity, organizational structures, capacity-building efforts, and international cooperation.</w:t>
      </w:r>
      <w:r>
        <w:rPr>
          <w:sz w:val="20"/>
          <w:szCs w:val="20"/>
          <w:vertAlign w:val="superscript"/>
        </w:rPr>
        <w:footnoteReference w:id="24"/>
      </w:r>
      <w:r>
        <w:rPr>
          <w:sz w:val="20"/>
          <w:szCs w:val="20"/>
        </w:rPr>
        <w:t xml:space="preserve"> The GCI serves both as a benchmarking mechanism and as an incentive for states to improve their cybersecurity posture, particularly in the telecommunications sector. Through ITU-D programs, the UN has also provided technical assistance and training to developing countries, helping them establish national computer incident response teams (CIRTs), strengthen regulatory oversight, and improve workforce preparedness.</w:t>
      </w:r>
      <w:r>
        <w:rPr>
          <w:sz w:val="20"/>
          <w:szCs w:val="20"/>
          <w:vertAlign w:val="superscript"/>
        </w:rPr>
        <w:footnoteReference w:id="25"/>
      </w:r>
    </w:p>
    <w:p w14:paraId="62D913AF" w14:textId="77777777" w:rsidR="00712469" w:rsidRDefault="00000000">
      <w:pPr>
        <w:ind w:firstLine="720"/>
        <w:rPr>
          <w:sz w:val="20"/>
          <w:szCs w:val="20"/>
        </w:rPr>
      </w:pPr>
      <w:r>
        <w:rPr>
          <w:sz w:val="20"/>
          <w:szCs w:val="20"/>
        </w:rPr>
        <w:t>Beyond the ITU, broader UN initiatives have sought to address cyber threats through norm-building and confidence-building measures. The UN Group of Governmental Experts (GGE) and the Open-Ended Working Group (OEWG) have worked to define norms of responsible state behavior in cyberspace, including the principle that states should not target critical infrastructure such as telecommunications networks during peacetime.</w:t>
      </w:r>
      <w:r>
        <w:rPr>
          <w:sz w:val="20"/>
          <w:szCs w:val="20"/>
          <w:vertAlign w:val="superscript"/>
        </w:rPr>
        <w:footnoteReference w:id="26"/>
      </w:r>
      <w:r>
        <w:rPr>
          <w:sz w:val="20"/>
          <w:szCs w:val="20"/>
        </w:rPr>
        <w:t xml:space="preserve"> Despite these efforts, enforcement remains limited, and differing interpretations of sovereignty, attribution, and accountability continue to challenge consensus, highlighting the ongoing need for dialogue within the ITU Council. These challenges are amplified by technological advancements that outpace existing legal frameworks, creating gaps that malicious actors can exploit. Some Member States continue to prioritize national security over global norms, leading to uneven compliance and ongoing risks to international telecommunications infrastructure. The ITU Council plays a vital role in converting UN norms into practical guidance, technical standards, and cooperative initiatives. Through collaboration, information sharing, and capacity-building programs, the Council helps Member States strengthen network resilience against state and non-state cyber threats while promoting trust, transparency, and stability in global digital communications.</w:t>
      </w:r>
    </w:p>
    <w:p w14:paraId="3CD51DEE" w14:textId="77777777" w:rsidR="00712469" w:rsidRDefault="00712469">
      <w:pPr>
        <w:rPr>
          <w:sz w:val="20"/>
          <w:szCs w:val="20"/>
        </w:rPr>
      </w:pPr>
    </w:p>
    <w:p w14:paraId="56EA08E1" w14:textId="77777777" w:rsidR="00712469" w:rsidRDefault="00000000">
      <w:pPr>
        <w:rPr>
          <w:b/>
          <w:bCs/>
          <w:i/>
          <w:iCs/>
          <w:sz w:val="20"/>
          <w:szCs w:val="20"/>
        </w:rPr>
      </w:pPr>
      <w:r>
        <w:rPr>
          <w:b/>
          <w:bCs/>
          <w:i/>
          <w:iCs/>
          <w:sz w:val="20"/>
          <w:szCs w:val="20"/>
        </w:rPr>
        <w:t xml:space="preserve">Conclusion </w:t>
      </w:r>
    </w:p>
    <w:p w14:paraId="6B637C46" w14:textId="77777777" w:rsidR="00712469" w:rsidRDefault="00712469">
      <w:pPr>
        <w:rPr>
          <w:b/>
          <w:bCs/>
          <w:i/>
          <w:iCs/>
          <w:sz w:val="20"/>
          <w:szCs w:val="20"/>
        </w:rPr>
      </w:pPr>
    </w:p>
    <w:p w14:paraId="62A36FC8" w14:textId="77777777" w:rsidR="00712469" w:rsidRDefault="00000000">
      <w:pPr>
        <w:rPr>
          <w:sz w:val="20"/>
          <w:szCs w:val="20"/>
        </w:rPr>
      </w:pPr>
      <w:r>
        <w:rPr>
          <w:sz w:val="20"/>
          <w:szCs w:val="20"/>
        </w:rPr>
        <w:tab/>
        <w:t>Cyber espionage and cyber attacks targeting global telecommunications infrastructure are one of the most pressing security challenges of the modern era. As digital connectivity expands, the potential consequences of compromised systems grow increasingly severe, affecting economic stability, national security, and civilian well-being, and the interconnected nature of these networks ensures that vulnerabilities in one Member State can rapidly impact others, making cybersecurity a shared international responsibility rather than a purely domestic concern. The ITU Council plays a critical role in shaping the future of global telecommunications security by fostering cooperation, advancing technical standards, and supporting capacity building to help Member States mitigate cyber threats while preserving the openness and accessibility of global communications. Continued engagement, innovation, and multilateral collaboration will be essential to ensuring that telecommunications infrastructure remains secure, resilient, and trusted in an increasingly contested digital environment.</w:t>
      </w:r>
    </w:p>
    <w:p w14:paraId="33042A24" w14:textId="77777777" w:rsidR="00712469" w:rsidRDefault="00712469">
      <w:pPr>
        <w:rPr>
          <w:sz w:val="20"/>
          <w:szCs w:val="20"/>
        </w:rPr>
      </w:pPr>
    </w:p>
    <w:p w14:paraId="41D182CA" w14:textId="77777777" w:rsidR="00712469" w:rsidRDefault="00000000">
      <w:pPr>
        <w:rPr>
          <w:b/>
          <w:bCs/>
          <w:i/>
          <w:iCs/>
          <w:sz w:val="20"/>
          <w:szCs w:val="20"/>
        </w:rPr>
      </w:pPr>
      <w:r>
        <w:rPr>
          <w:b/>
          <w:bCs/>
          <w:i/>
          <w:iCs/>
          <w:sz w:val="20"/>
          <w:szCs w:val="20"/>
        </w:rPr>
        <w:t>Committee Directive</w:t>
      </w:r>
    </w:p>
    <w:p w14:paraId="1D9365D0" w14:textId="77777777" w:rsidR="00712469" w:rsidRDefault="00712469">
      <w:pPr>
        <w:rPr>
          <w:b/>
          <w:bCs/>
          <w:i/>
          <w:iCs/>
          <w:sz w:val="20"/>
          <w:szCs w:val="20"/>
        </w:rPr>
      </w:pPr>
    </w:p>
    <w:p w14:paraId="3AB59BA7" w14:textId="77777777" w:rsidR="00712469" w:rsidRDefault="00000000">
      <w:pPr>
        <w:rPr>
          <w:sz w:val="20"/>
          <w:szCs w:val="20"/>
        </w:rPr>
      </w:pPr>
      <w:r>
        <w:rPr>
          <w:sz w:val="20"/>
          <w:szCs w:val="20"/>
        </w:rPr>
        <w:tab/>
        <w:t>Member States in the International Telecommunication Union Council must recognize the necessity of collective and coordinated action to prevent cyber espionage and cyber attacks against global telecommunications systems, which requires strengthening international norms, technical standards, and information-sharing mechanisms. Papers should be firmly grounded in cooperation and consensus-building among Member States, recognizing that no single state can address these complex threats in isolation. Greater collaboration is needed between regulatory authorities, national cybersecurity agencies, and telecommunications providers, together with active engagement in UN and ITU initiatives such as the Global Cybersecurity Agenda and the Global Cybersecurity Index. Delegates should also consider capacity-building and technical assistance policies that ensure equitable access to secure telecommunications infrastructure, legal frameworks to deter malicious actors, and mechanisms for incident reporting and cross-border threat response. Above all, Member States should work together to ensure that global telecommunications remain resilient, secure, and trustworthy, building on shared responsibility, sustained partnerships, and the principles of transparency and cooperation internationally.</w:t>
      </w:r>
    </w:p>
    <w:sectPr w:rsidR="00712469">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81BCB" w14:textId="77777777" w:rsidR="00565E85" w:rsidRDefault="00565E85">
      <w:r>
        <w:separator/>
      </w:r>
    </w:p>
  </w:endnote>
  <w:endnote w:type="continuationSeparator" w:id="0">
    <w:p w14:paraId="6DF2F281" w14:textId="77777777" w:rsidR="00565E85" w:rsidRDefault="00565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4D"/>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embedRegular r:id="rId1" w:fontKey="{F058495D-49CB-4C4B-8E92-2AA9D88B497C}"/>
    <w:embedBold r:id="rId2" w:fontKey="{33C98C05-6DA3-9649-BC12-665E5A1B5967}"/>
    <w:embedItalic r:id="rId3" w:fontKey="{DCAA5D3A-3FB4-7A47-A509-71E799695854}"/>
    <w:embedBoldItalic r:id="rId4" w:fontKey="{A8E8B6F8-2EF0-E847-BA5C-60EB889DA90A}"/>
  </w:font>
  <w:font w:name="Arial">
    <w:panose1 w:val="020B0604020202020204"/>
    <w:charset w:val="00"/>
    <w:family w:val="swiss"/>
    <w:pitch w:val="variable"/>
    <w:sig w:usb0="E0002AFF" w:usb1="C0007843" w:usb2="00000009" w:usb3="00000000" w:csb0="000001FF" w:csb1="00000000"/>
    <w:embedRegular r:id="rId5" w:fontKey="{3C3D350B-3F56-984D-B385-E35A3C09BF8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6" w:fontKey="{8A51202F-4AC6-8843-BE8E-60B8FCEB6E0C}"/>
  </w:font>
  <w:font w:name="Cambria">
    <w:panose1 w:val="02040503050406030204"/>
    <w:charset w:val="00"/>
    <w:family w:val="roman"/>
    <w:pitch w:val="variable"/>
    <w:sig w:usb0="E00006FF" w:usb1="420024FF" w:usb2="02000000" w:usb3="00000000" w:csb0="0000019F" w:csb1="00000000"/>
    <w:embedRegular r:id="rId7" w:fontKey="{D3965D05-09ED-2B4B-8843-F4D65202F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2F9F" w14:textId="5016411A" w:rsidR="00712469" w:rsidRDefault="00000000">
    <w:pPr>
      <w:jc w:val="right"/>
      <w:rPr>
        <w:sz w:val="20"/>
        <w:szCs w:val="20"/>
      </w:rPr>
    </w:pPr>
    <w:r>
      <w:rPr>
        <w:sz w:val="20"/>
        <w:szCs w:val="20"/>
      </w:rPr>
      <w:fldChar w:fldCharType="begin"/>
    </w:r>
    <w:r>
      <w:rPr>
        <w:sz w:val="20"/>
        <w:szCs w:val="20"/>
      </w:rPr>
      <w:instrText>PAGE</w:instrText>
    </w:r>
    <w:r>
      <w:rPr>
        <w:sz w:val="20"/>
        <w:szCs w:val="20"/>
      </w:rPr>
      <w:fldChar w:fldCharType="separate"/>
    </w:r>
    <w:r w:rsidR="00771D6F">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33E5B" w14:textId="77777777" w:rsidR="00712469" w:rsidRDefault="00000000">
    <w:pPr>
      <w:jc w:val="right"/>
    </w:pPr>
    <w:r>
      <w:fldChar w:fldCharType="begin"/>
    </w:r>
    <w:r>
      <w:instrText>PAGE</w:instrText>
    </w:r>
    <w:r>
      <w:fldChar w:fldCharType="separate"/>
    </w:r>
    <w:r w:rsidR="00771D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0B994" w14:textId="77777777" w:rsidR="00565E85" w:rsidRDefault="00565E85">
      <w:r>
        <w:separator/>
      </w:r>
    </w:p>
  </w:footnote>
  <w:footnote w:type="continuationSeparator" w:id="0">
    <w:p w14:paraId="75155DB9" w14:textId="77777777" w:rsidR="00565E85" w:rsidRDefault="00565E85">
      <w:r>
        <w:continuationSeparator/>
      </w:r>
    </w:p>
  </w:footnote>
  <w:footnote w:id="1">
    <w:p w14:paraId="71B6AA6D" w14:textId="77777777" w:rsidR="00712469" w:rsidRDefault="00000000">
      <w:pPr>
        <w:ind w:left="720" w:hanging="720"/>
        <w:rPr>
          <w:sz w:val="18"/>
          <w:szCs w:val="18"/>
        </w:rPr>
      </w:pPr>
      <w:r>
        <w:rPr>
          <w:vertAlign w:val="superscript"/>
        </w:rPr>
        <w:footnoteRef/>
      </w:r>
      <w:r>
        <w:rPr>
          <w:sz w:val="18"/>
          <w:szCs w:val="18"/>
        </w:rPr>
        <w:t xml:space="preserve"> International Telecommunication Union. “About the International Telecommunication Union (ITU).” </w:t>
      </w:r>
      <w:r>
        <w:rPr>
          <w:i/>
          <w:iCs/>
          <w:sz w:val="18"/>
          <w:szCs w:val="18"/>
        </w:rPr>
        <w:t>International Telecommunication Union</w:t>
      </w:r>
      <w:r>
        <w:rPr>
          <w:sz w:val="18"/>
          <w:szCs w:val="18"/>
        </w:rPr>
        <w:t>. Accessed January 7, 2026.</w:t>
      </w:r>
      <w:hyperlink r:id="rId1">
        <w:r>
          <w:rPr>
            <w:sz w:val="18"/>
            <w:szCs w:val="18"/>
          </w:rPr>
          <w:t xml:space="preserve"> </w:t>
        </w:r>
      </w:hyperlink>
      <w:hyperlink r:id="rId2">
        <w:r>
          <w:rPr>
            <w:color w:val="1155CC"/>
            <w:sz w:val="18"/>
            <w:szCs w:val="18"/>
            <w:u w:val="single"/>
          </w:rPr>
          <w:t>https://www.itu.int/en/about/Pages/default.aspx?kbid=88458</w:t>
        </w:r>
      </w:hyperlink>
    </w:p>
  </w:footnote>
  <w:footnote w:id="2">
    <w:p w14:paraId="07B50C44"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Ibid.</w:t>
      </w:r>
    </w:p>
  </w:footnote>
  <w:footnote w:id="3">
    <w:p w14:paraId="47A43923"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“Overview of ITU’s History.” n.d. https://www.itu.int/en/history/Pages/ITUsHistory.aspx.</w:t>
      </w:r>
    </w:p>
  </w:footnote>
  <w:footnote w:id="4">
    <w:p w14:paraId="0230C28B"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Ibid. ‌</w:t>
      </w:r>
    </w:p>
  </w:footnote>
  <w:footnote w:id="5">
    <w:p w14:paraId="23A40545"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Ibid.</w:t>
      </w:r>
    </w:p>
  </w:footnote>
  <w:footnote w:id="6">
    <w:p w14:paraId="666AF970"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Ibid.</w:t>
      </w:r>
    </w:p>
  </w:footnote>
  <w:footnote w:id="7">
    <w:p w14:paraId="30F03892"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“ITU Gateway for WSIS.” 2025. ITU. 2025. https://www.itu.int/en/itu-wsis/Pages/default.aspx. </w:t>
      </w:r>
    </w:p>
  </w:footnote>
  <w:footnote w:id="8">
    <w:p w14:paraId="0AB70EB0"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“Overview of ITU’s History.” 2025. ITU. 2025. https://www.itu.int/en/history/Pages/ITUsHistory-page-8.aspx. </w:t>
      </w:r>
    </w:p>
  </w:footnote>
  <w:footnote w:id="9">
    <w:p w14:paraId="2BBB1AA7"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Tchioffo Kodjo. 2018. “What You Need to Know about PP-18 - ITU PP-18 - Plenipotentiary Conference.” ITU Plenipotentiary Conference 2018 (PP-18). 2018. https://www.itu.int/web/pp-18/en/backgrounder/what-you-need-to-know-about-pp-18. ‌</w:t>
      </w:r>
    </w:p>
  </w:footnote>
  <w:footnote w:id="10">
    <w:p w14:paraId="43FA52A8"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“Historical Highlights: ITU Council.” 2025. ITU. 2025. https://www.itu.int/en/history/Pages/Council.aspx. ‌</w:t>
      </w:r>
    </w:p>
  </w:footnote>
  <w:footnote w:id="11">
    <w:p w14:paraId="7541D6A3"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“Overview of ITU’s History.” 2025. ITU. 2025. https://www.itu.int/en/history/Pages/ITUsHistory-page-11.aspx. ‌</w:t>
      </w:r>
    </w:p>
  </w:footnote>
  <w:footnote w:id="12">
    <w:p w14:paraId="79D422B9"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Ibid</w:t>
      </w:r>
    </w:p>
  </w:footnote>
  <w:footnote w:id="13">
    <w:p w14:paraId="5A45089E"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International Telecommunication Union. “Guardians of the Airwaves: ITU Radio Regulations Board.” </w:t>
      </w:r>
      <w:r>
        <w:rPr>
          <w:i/>
          <w:iCs/>
          <w:sz w:val="18"/>
          <w:szCs w:val="18"/>
        </w:rPr>
        <w:t>International Telecommunication Union</w:t>
      </w:r>
      <w:r>
        <w:rPr>
          <w:sz w:val="18"/>
          <w:szCs w:val="18"/>
        </w:rPr>
        <w:t xml:space="preserve">, November 10, 2025. Accessed January 7, 2026. </w:t>
      </w:r>
      <w:hyperlink r:id="rId3">
        <w:r>
          <w:rPr>
            <w:color w:val="1155CC"/>
            <w:sz w:val="18"/>
            <w:szCs w:val="18"/>
            <w:u w:val="single"/>
          </w:rPr>
          <w:t>https://www.itu.int/hub/2025/11/guardians-of-the-airwaves-itu-radio-regulations-board/</w:t>
        </w:r>
      </w:hyperlink>
    </w:p>
  </w:footnote>
  <w:footnote w:id="14">
    <w:p w14:paraId="25688784"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Jack, Copeland B. 2025. “The Modern History of Computing (Stanford Encyclopedia of Philosophy/Winter 2011 Edition).” Stanford.edu. 2025. </w:t>
      </w:r>
      <w:hyperlink r:id="rId4">
        <w:r>
          <w:rPr>
            <w:color w:val="1155CC"/>
            <w:sz w:val="18"/>
            <w:szCs w:val="18"/>
            <w:u w:val="single"/>
          </w:rPr>
          <w:t>https://plato.stanford.edu/archives/win2011/entries/computing-history/</w:t>
        </w:r>
      </w:hyperlink>
      <w:r>
        <w:rPr>
          <w:sz w:val="18"/>
          <w:szCs w:val="18"/>
        </w:rPr>
        <w:t>.</w:t>
      </w:r>
    </w:p>
  </w:footnote>
  <w:footnote w:id="15">
    <w:p w14:paraId="36239EEE"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Burks, Arthur. “Electronic Computing Circuits of the ENIAC.” </w:t>
      </w:r>
      <w:r>
        <w:rPr>
          <w:i/>
          <w:iCs/>
          <w:sz w:val="18"/>
          <w:szCs w:val="18"/>
        </w:rPr>
        <w:t>Proceedings of the I.R.E.</w:t>
      </w:r>
      <w:r>
        <w:rPr>
          <w:sz w:val="18"/>
          <w:szCs w:val="18"/>
        </w:rPr>
        <w:t xml:space="preserve"> 35, no. 8 (1947): 756–767. </w:t>
      </w:r>
      <w:hyperlink r:id="rId5">
        <w:r>
          <w:rPr>
            <w:color w:val="1155CC"/>
            <w:sz w:val="18"/>
            <w:szCs w:val="18"/>
            <w:u w:val="single"/>
          </w:rPr>
          <w:t>https://doi.org/10.1109/JRPROC.1947.234265</w:t>
        </w:r>
      </w:hyperlink>
    </w:p>
  </w:footnote>
  <w:footnote w:id="16">
    <w:p w14:paraId="0F94F159"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Defense Advanced Research Projects Agency (DARPA). “ARPANET.” Accessed January 7, 2026.</w:t>
      </w:r>
      <w:hyperlink r:id="rId6">
        <w:r>
          <w:rPr>
            <w:sz w:val="18"/>
            <w:szCs w:val="18"/>
          </w:rPr>
          <w:t xml:space="preserve"> </w:t>
        </w:r>
      </w:hyperlink>
      <w:hyperlink r:id="rId7">
        <w:r>
          <w:rPr>
            <w:color w:val="1155CC"/>
            <w:sz w:val="18"/>
            <w:szCs w:val="18"/>
            <w:u w:val="single"/>
          </w:rPr>
          <w:t>https://www.darpa.mil/news/features/arpanet</w:t>
        </w:r>
      </w:hyperlink>
    </w:p>
  </w:footnote>
  <w:footnote w:id="17">
    <w:p w14:paraId="5FFB917C"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Guinness World Records. “First Incident of Cyber-Espionage.” </w:t>
      </w:r>
      <w:r>
        <w:rPr>
          <w:i/>
          <w:iCs/>
          <w:sz w:val="18"/>
          <w:szCs w:val="18"/>
        </w:rPr>
        <w:t>Guinness World Records</w:t>
      </w:r>
      <w:r>
        <w:rPr>
          <w:sz w:val="18"/>
          <w:szCs w:val="18"/>
        </w:rPr>
        <w:t>. Accessed January 7, 2026.</w:t>
      </w:r>
      <w:hyperlink r:id="rId8">
        <w:r>
          <w:rPr>
            <w:sz w:val="18"/>
            <w:szCs w:val="18"/>
          </w:rPr>
          <w:t xml:space="preserve"> </w:t>
        </w:r>
      </w:hyperlink>
      <w:hyperlink r:id="rId9">
        <w:r>
          <w:rPr>
            <w:color w:val="1155CC"/>
            <w:sz w:val="18"/>
            <w:szCs w:val="18"/>
            <w:u w:val="single"/>
          </w:rPr>
          <w:t>https://www.guinnessworldrecords.com/world-records/612868-first-incident-of-cyber-espionage</w:t>
        </w:r>
      </w:hyperlink>
    </w:p>
  </w:footnote>
  <w:footnote w:id="18">
    <w:p w14:paraId="51093E0D" w14:textId="77777777" w:rsidR="00712469" w:rsidRDefault="00000000">
      <w:pPr>
        <w:pBdr>
          <w:top w:val="nil"/>
          <w:left w:val="nil"/>
          <w:bottom w:val="nil"/>
          <w:right w:val="nil"/>
          <w:between w:val="nil"/>
        </w:pBdr>
        <w:ind w:left="720" w:hanging="720"/>
        <w:rPr>
          <w:sz w:val="18"/>
          <w:szCs w:val="18"/>
        </w:rPr>
      </w:pPr>
      <w:r>
        <w:rPr>
          <w:vertAlign w:val="superscript"/>
        </w:rPr>
        <w:footnoteRef/>
      </w:r>
      <w:r>
        <w:rPr>
          <w:sz w:val="18"/>
          <w:szCs w:val="18"/>
        </w:rPr>
        <w:t xml:space="preserve"> Federal Bureau of Investigation. “Morris Worm.” </w:t>
      </w:r>
      <w:r>
        <w:rPr>
          <w:i/>
          <w:iCs/>
          <w:sz w:val="18"/>
          <w:szCs w:val="18"/>
        </w:rPr>
        <w:t>FBI</w:t>
      </w:r>
      <w:r>
        <w:rPr>
          <w:sz w:val="18"/>
          <w:szCs w:val="18"/>
        </w:rPr>
        <w:t>. Accessed January 7, 2026.</w:t>
      </w:r>
      <w:hyperlink r:id="rId10">
        <w:r>
          <w:rPr>
            <w:sz w:val="18"/>
            <w:szCs w:val="18"/>
          </w:rPr>
          <w:t xml:space="preserve"> </w:t>
        </w:r>
      </w:hyperlink>
      <w:hyperlink r:id="rId11">
        <w:r>
          <w:rPr>
            <w:color w:val="1155CC"/>
            <w:sz w:val="18"/>
            <w:szCs w:val="18"/>
            <w:u w:val="single"/>
          </w:rPr>
          <w:t>https://www.fbi.gov/history/famous-cases/morris-worm</w:t>
        </w:r>
      </w:hyperlink>
    </w:p>
  </w:footnote>
  <w:footnote w:id="19">
    <w:p w14:paraId="6A9E6A29" w14:textId="77777777" w:rsidR="00712469" w:rsidRDefault="00000000">
      <w:pPr>
        <w:rPr>
          <w:sz w:val="18"/>
          <w:szCs w:val="18"/>
        </w:rPr>
      </w:pPr>
      <w:r>
        <w:rPr>
          <w:vertAlign w:val="superscript"/>
        </w:rPr>
        <w:footnoteRef/>
      </w:r>
      <w:r>
        <w:rPr>
          <w:sz w:val="18"/>
          <w:szCs w:val="18"/>
        </w:rPr>
        <w:t xml:space="preserve"> Kaspersky Lab</w:t>
      </w:r>
      <w:r>
        <w:rPr>
          <w:b/>
          <w:bCs/>
          <w:sz w:val="18"/>
          <w:szCs w:val="18"/>
        </w:rPr>
        <w:t>.</w:t>
      </w:r>
      <w:r>
        <w:rPr>
          <w:sz w:val="18"/>
          <w:szCs w:val="18"/>
        </w:rPr>
        <w:t xml:space="preserve"> “Kaspersky Warns Telecom Threats from 2025 Will Carry into 2026 as New Technology Adds New Risk.” </w:t>
      </w:r>
      <w:r>
        <w:rPr>
          <w:i/>
          <w:iCs/>
          <w:sz w:val="18"/>
          <w:szCs w:val="18"/>
        </w:rPr>
        <w:t>Kaspersky</w:t>
      </w:r>
      <w:r>
        <w:rPr>
          <w:sz w:val="18"/>
          <w:szCs w:val="18"/>
        </w:rPr>
        <w:t>, December 22, 2025.</w:t>
      </w:r>
      <w:hyperlink r:id="rId12">
        <w:r>
          <w:rPr>
            <w:sz w:val="18"/>
            <w:szCs w:val="18"/>
          </w:rPr>
          <w:t xml:space="preserve"> </w:t>
        </w:r>
      </w:hyperlink>
      <w:hyperlink r:id="rId13">
        <w:r>
          <w:rPr>
            <w:color w:val="1155CC"/>
            <w:sz w:val="18"/>
            <w:szCs w:val="18"/>
            <w:u w:val="single"/>
          </w:rPr>
          <w:t>https://www.kaspersky.com/about/press-releases/kaspersky-warns-telecom-threats-from-2025-will-carry-into-2026-as-new-technology-adds-new-risk</w:t>
        </w:r>
      </w:hyperlink>
    </w:p>
  </w:footnote>
  <w:footnote w:id="20">
    <w:p w14:paraId="5A5BA73F" w14:textId="77777777" w:rsidR="00712469" w:rsidRDefault="00000000">
      <w:pPr>
        <w:rPr>
          <w:sz w:val="18"/>
          <w:szCs w:val="18"/>
        </w:rPr>
      </w:pPr>
      <w:r>
        <w:rPr>
          <w:vertAlign w:val="superscript"/>
        </w:rPr>
        <w:footnoteRef/>
      </w:r>
      <w:r>
        <w:rPr>
          <w:sz w:val="18"/>
          <w:szCs w:val="18"/>
        </w:rPr>
        <w:t xml:space="preserve"> International Telecommunication Union. “Global Cybersecurity Agenda (GCA) — Strategic Report.” </w:t>
      </w:r>
      <w:r>
        <w:rPr>
          <w:i/>
          <w:iCs/>
          <w:sz w:val="18"/>
          <w:szCs w:val="18"/>
        </w:rPr>
        <w:t>ITU</w:t>
      </w:r>
      <w:r>
        <w:rPr>
          <w:sz w:val="18"/>
          <w:szCs w:val="18"/>
        </w:rPr>
        <w:t>, accessed January 7, 2026.</w:t>
      </w:r>
      <w:hyperlink r:id="rId14">
        <w:r>
          <w:rPr>
            <w:sz w:val="18"/>
            <w:szCs w:val="18"/>
          </w:rPr>
          <w:t xml:space="preserve"> </w:t>
        </w:r>
      </w:hyperlink>
      <w:hyperlink r:id="rId15">
        <w:r>
          <w:rPr>
            <w:color w:val="1155CC"/>
            <w:sz w:val="18"/>
            <w:szCs w:val="18"/>
            <w:u w:val="single"/>
          </w:rPr>
          <w:t>https://www.itu.int/osg/csd/cybersecurity/gca/global_strategic_report/chapt_5_iframe.htm</w:t>
        </w:r>
      </w:hyperlink>
    </w:p>
  </w:footnote>
  <w:footnote w:id="21">
    <w:p w14:paraId="092BFB80" w14:textId="77777777" w:rsidR="00712469" w:rsidRDefault="00000000">
      <w:pPr>
        <w:rPr>
          <w:sz w:val="18"/>
          <w:szCs w:val="18"/>
        </w:rPr>
      </w:pPr>
      <w:r>
        <w:rPr>
          <w:vertAlign w:val="superscript"/>
        </w:rPr>
        <w:footnoteRef/>
      </w:r>
      <w:r>
        <w:rPr>
          <w:rFonts w:ascii="Arial" w:eastAsia="Arial" w:hAnsi="Arial" w:cs="Arial"/>
          <w:sz w:val="20"/>
          <w:szCs w:val="20"/>
        </w:rPr>
        <w:t xml:space="preserve"> </w:t>
      </w:r>
      <w:r>
        <w:rPr>
          <w:sz w:val="18"/>
          <w:szCs w:val="18"/>
        </w:rPr>
        <w:t xml:space="preserve">Nokia. “Threat Intelligence Report 2025.” </w:t>
      </w:r>
      <w:r>
        <w:rPr>
          <w:i/>
          <w:iCs/>
          <w:sz w:val="18"/>
          <w:szCs w:val="18"/>
        </w:rPr>
        <w:t>Nokia Cybersecurity</w:t>
      </w:r>
      <w:r>
        <w:rPr>
          <w:sz w:val="18"/>
          <w:szCs w:val="18"/>
        </w:rPr>
        <w:t>, accessed January 7, 2026.</w:t>
      </w:r>
      <w:hyperlink r:id="rId16">
        <w:r>
          <w:rPr>
            <w:sz w:val="18"/>
            <w:szCs w:val="18"/>
          </w:rPr>
          <w:t xml:space="preserve"> </w:t>
        </w:r>
      </w:hyperlink>
      <w:hyperlink r:id="rId17">
        <w:r>
          <w:rPr>
            <w:color w:val="1155CC"/>
            <w:sz w:val="18"/>
            <w:szCs w:val="18"/>
            <w:u w:val="single"/>
          </w:rPr>
          <w:t>https://www.nokia.com/cybersecurity/threat-intelligence-report/</w:t>
        </w:r>
      </w:hyperlink>
    </w:p>
  </w:footnote>
  <w:footnote w:id="22">
    <w:p w14:paraId="775C0848" w14:textId="77777777" w:rsidR="00712469" w:rsidRDefault="00000000">
      <w:pPr>
        <w:rPr>
          <w:sz w:val="18"/>
          <w:szCs w:val="18"/>
        </w:rPr>
      </w:pPr>
      <w:r>
        <w:rPr>
          <w:vertAlign w:val="superscript"/>
        </w:rPr>
        <w:footnoteRef/>
      </w:r>
      <w:r>
        <w:rPr>
          <w:sz w:val="18"/>
          <w:szCs w:val="18"/>
        </w:rPr>
        <w:t xml:space="preserve"> International Telecommunication Union. “Global Cybersecurity Index (GCI).” </w:t>
      </w:r>
      <w:r>
        <w:rPr>
          <w:i/>
          <w:iCs/>
          <w:sz w:val="18"/>
          <w:szCs w:val="18"/>
        </w:rPr>
        <w:t>ITU</w:t>
      </w:r>
      <w:r>
        <w:rPr>
          <w:sz w:val="18"/>
          <w:szCs w:val="18"/>
        </w:rPr>
        <w:t>, accessed January 7, 2026.</w:t>
      </w:r>
      <w:hyperlink r:id="rId18">
        <w:r>
          <w:rPr>
            <w:sz w:val="18"/>
            <w:szCs w:val="18"/>
          </w:rPr>
          <w:t xml:space="preserve"> </w:t>
        </w:r>
      </w:hyperlink>
      <w:hyperlink r:id="rId19">
        <w:r>
          <w:rPr>
            <w:color w:val="1155CC"/>
            <w:sz w:val="18"/>
            <w:szCs w:val="18"/>
            <w:u w:val="single"/>
          </w:rPr>
          <w:t>https://www.itu.int/en/ITU-D/Cybersecurity/pages/global-cybersecurity-index.aspx</w:t>
        </w:r>
      </w:hyperlink>
    </w:p>
  </w:footnote>
  <w:footnote w:id="23">
    <w:p w14:paraId="20B6A77F" w14:textId="77777777" w:rsidR="00712469" w:rsidRDefault="00000000">
      <w:pPr>
        <w:rPr>
          <w:sz w:val="18"/>
          <w:szCs w:val="18"/>
        </w:rPr>
      </w:pPr>
      <w:r>
        <w:rPr>
          <w:vertAlign w:val="superscript"/>
        </w:rPr>
        <w:footnoteRef/>
      </w:r>
      <w:r>
        <w:rPr>
          <w:sz w:val="18"/>
          <w:szCs w:val="18"/>
        </w:rPr>
        <w:t xml:space="preserve"> International Telecommunication Union. “Global Cybersecurity Agenda (GCA).” </w:t>
      </w:r>
      <w:r>
        <w:rPr>
          <w:i/>
          <w:iCs/>
          <w:sz w:val="18"/>
          <w:szCs w:val="18"/>
        </w:rPr>
        <w:t>International Telecommunication Union</w:t>
      </w:r>
      <w:r>
        <w:rPr>
          <w:sz w:val="18"/>
          <w:szCs w:val="18"/>
        </w:rPr>
        <w:t>. Accessed January 7, 2026.</w:t>
      </w:r>
      <w:hyperlink r:id="rId20">
        <w:r>
          <w:rPr>
            <w:sz w:val="18"/>
            <w:szCs w:val="18"/>
          </w:rPr>
          <w:t xml:space="preserve"> </w:t>
        </w:r>
      </w:hyperlink>
      <w:hyperlink r:id="rId21">
        <w:r>
          <w:rPr>
            <w:color w:val="1155CC"/>
            <w:sz w:val="18"/>
            <w:szCs w:val="18"/>
            <w:u w:val="single"/>
          </w:rPr>
          <w:t>https://www.itu.int/en/action/cybersecurity/pages/gca.aspx</w:t>
        </w:r>
      </w:hyperlink>
    </w:p>
  </w:footnote>
  <w:footnote w:id="24">
    <w:p w14:paraId="1A4477D9" w14:textId="77777777" w:rsidR="00712469" w:rsidRDefault="00000000">
      <w:pPr>
        <w:rPr>
          <w:sz w:val="18"/>
          <w:szCs w:val="18"/>
        </w:rPr>
      </w:pPr>
      <w:r>
        <w:rPr>
          <w:vertAlign w:val="superscript"/>
        </w:rPr>
        <w:footnoteRef/>
      </w:r>
      <w:r>
        <w:rPr>
          <w:sz w:val="18"/>
          <w:szCs w:val="18"/>
        </w:rPr>
        <w:t xml:space="preserve"> International Telecommunication Union. </w:t>
      </w:r>
      <w:r>
        <w:rPr>
          <w:i/>
          <w:iCs/>
          <w:sz w:val="18"/>
          <w:szCs w:val="18"/>
        </w:rPr>
        <w:t>Global Cybersecurity Index 2024</w:t>
      </w:r>
      <w:r>
        <w:rPr>
          <w:sz w:val="18"/>
          <w:szCs w:val="18"/>
        </w:rPr>
        <w:t>. 5th ed. Geneva: International Telecommunication Union, 2024.</w:t>
      </w:r>
      <w:hyperlink r:id="rId22">
        <w:r>
          <w:rPr>
            <w:sz w:val="18"/>
            <w:szCs w:val="18"/>
          </w:rPr>
          <w:t xml:space="preserve"> </w:t>
        </w:r>
      </w:hyperlink>
      <w:hyperlink r:id="rId23">
        <w:r>
          <w:rPr>
            <w:color w:val="1155CC"/>
            <w:sz w:val="18"/>
            <w:szCs w:val="18"/>
            <w:u w:val="single"/>
          </w:rPr>
          <w:t>https://www.itu.int/epublications/publication/global-cybersecurity-index-2024</w:t>
        </w:r>
      </w:hyperlink>
    </w:p>
  </w:footnote>
  <w:footnote w:id="25">
    <w:p w14:paraId="4FB688F6" w14:textId="77777777" w:rsidR="00712469" w:rsidRDefault="00000000">
      <w:pPr>
        <w:rPr>
          <w:sz w:val="18"/>
          <w:szCs w:val="18"/>
        </w:rPr>
      </w:pPr>
      <w:r>
        <w:rPr>
          <w:vertAlign w:val="superscript"/>
        </w:rPr>
        <w:footnoteRef/>
      </w:r>
      <w:r>
        <w:rPr>
          <w:sz w:val="18"/>
          <w:szCs w:val="18"/>
        </w:rPr>
        <w:t xml:space="preserve"> International Telecommunication Union. “ITU Telecommunication Development Sector.” </w:t>
      </w:r>
      <w:r>
        <w:rPr>
          <w:i/>
          <w:iCs/>
          <w:sz w:val="18"/>
          <w:szCs w:val="18"/>
        </w:rPr>
        <w:t>International Telecommunication Union</w:t>
      </w:r>
      <w:r>
        <w:rPr>
          <w:sz w:val="18"/>
          <w:szCs w:val="18"/>
        </w:rPr>
        <w:t>. Accessed January 7, 2026.</w:t>
      </w:r>
      <w:hyperlink r:id="rId24">
        <w:r>
          <w:rPr>
            <w:sz w:val="18"/>
            <w:szCs w:val="18"/>
          </w:rPr>
          <w:t xml:space="preserve"> </w:t>
        </w:r>
      </w:hyperlink>
      <w:hyperlink r:id="rId25">
        <w:r>
          <w:rPr>
            <w:color w:val="1155CC"/>
            <w:sz w:val="18"/>
            <w:szCs w:val="18"/>
            <w:u w:val="single"/>
          </w:rPr>
          <w:t>https://www.itu.int/en/ITU-D/Pages/default.aspx</w:t>
        </w:r>
      </w:hyperlink>
    </w:p>
  </w:footnote>
  <w:footnote w:id="26">
    <w:p w14:paraId="28B129FF" w14:textId="77777777" w:rsidR="00712469" w:rsidRDefault="00000000">
      <w:pPr>
        <w:rPr>
          <w:sz w:val="18"/>
          <w:szCs w:val="18"/>
        </w:rPr>
      </w:pPr>
      <w:r>
        <w:rPr>
          <w:vertAlign w:val="superscript"/>
        </w:rPr>
        <w:footnoteRef/>
      </w:r>
      <w:r>
        <w:rPr>
          <w:rFonts w:ascii="Arial" w:eastAsia="Arial" w:hAnsi="Arial" w:cs="Arial"/>
          <w:sz w:val="20"/>
          <w:szCs w:val="20"/>
        </w:rPr>
        <w:t xml:space="preserve"> </w:t>
      </w:r>
      <w:r>
        <w:rPr>
          <w:sz w:val="18"/>
          <w:szCs w:val="18"/>
        </w:rPr>
        <w:t xml:space="preserve">Digital Watch Observatory. “UN Open‑ended Working Group (OEWG).” </w:t>
      </w:r>
      <w:r>
        <w:rPr>
          <w:i/>
          <w:iCs/>
          <w:sz w:val="18"/>
          <w:szCs w:val="18"/>
        </w:rPr>
        <w:t>Digital Watch Observatory</w:t>
      </w:r>
      <w:r>
        <w:rPr>
          <w:sz w:val="18"/>
          <w:szCs w:val="18"/>
        </w:rPr>
        <w:t>. Accessed January 7, 2026.</w:t>
      </w:r>
      <w:hyperlink r:id="rId26">
        <w:r>
          <w:rPr>
            <w:sz w:val="18"/>
            <w:szCs w:val="18"/>
          </w:rPr>
          <w:t xml:space="preserve"> </w:t>
        </w:r>
      </w:hyperlink>
      <w:hyperlink r:id="rId27">
        <w:r>
          <w:rPr>
            <w:color w:val="1155CC"/>
            <w:sz w:val="18"/>
            <w:szCs w:val="18"/>
            <w:u w:val="single"/>
          </w:rPr>
          <w:t>https://dig.watch/processes/un-gge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C0E4" w14:textId="77777777" w:rsidR="00712469" w:rsidRDefault="00000000">
    <w:r>
      <w:rPr>
        <w:noProof/>
      </w:rPr>
      <w:drawing>
        <wp:anchor distT="0" distB="0" distL="0" distR="0" simplePos="0" relativeHeight="251658240" behindDoc="1" locked="0" layoutInCell="1" hidden="0" allowOverlap="1" wp14:anchorId="249A6D36" wp14:editId="535C6DD5">
          <wp:simplePos x="0" y="0"/>
          <wp:positionH relativeFrom="page">
            <wp:posOffset>64008</wp:posOffset>
          </wp:positionH>
          <wp:positionV relativeFrom="page">
            <wp:posOffset>64008</wp:posOffset>
          </wp:positionV>
          <wp:extent cx="942975" cy="94297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9429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DB88" w14:textId="77777777" w:rsidR="00712469" w:rsidRDefault="00000000">
    <w:pPr>
      <w:spacing w:line="276" w:lineRule="auto"/>
      <w:jc w:val="center"/>
      <w:rPr>
        <w:b/>
        <w:bCs/>
        <w:sz w:val="24"/>
        <w:szCs w:val="24"/>
      </w:rPr>
    </w:pPr>
    <w:r>
      <w:rPr>
        <w:b/>
        <w:bCs/>
        <w:sz w:val="24"/>
        <w:szCs w:val="24"/>
      </w:rPr>
      <w:t>Kennesaw State University High School Model United Nations</w:t>
    </w:r>
  </w:p>
  <w:p w14:paraId="5428BB42" w14:textId="77777777" w:rsidR="00712469" w:rsidRDefault="00000000">
    <w:pPr>
      <w:spacing w:line="276" w:lineRule="auto"/>
      <w:jc w:val="center"/>
      <w:rPr>
        <w:b/>
        <w:bCs/>
        <w:sz w:val="24"/>
        <w:szCs w:val="24"/>
      </w:rPr>
    </w:pPr>
    <w:r>
      <w:rPr>
        <w:b/>
        <w:bCs/>
        <w:sz w:val="24"/>
        <w:szCs w:val="24"/>
      </w:rPr>
      <w:t>International Telecommunications Union Council</w:t>
    </w:r>
  </w:p>
  <w:p w14:paraId="39A4BE6D" w14:textId="77777777" w:rsidR="00712469" w:rsidRDefault="00000000">
    <w:pPr>
      <w:jc w:val="center"/>
      <w:rPr>
        <w:b/>
        <w:bCs/>
        <w:sz w:val="24"/>
        <w:szCs w:val="24"/>
      </w:rPr>
    </w:pPr>
    <w:r>
      <w:rPr>
        <w:b/>
        <w:bCs/>
        <w:sz w:val="24"/>
        <w:szCs w:val="24"/>
      </w:rPr>
      <w:t>February 27th - February 28th</w:t>
    </w:r>
    <w:r>
      <w:rPr>
        <w:b/>
        <w:bCs/>
        <w:sz w:val="24"/>
        <w:szCs w:val="24"/>
      </w:rPr>
      <w:t>, 2026 Kennesaw, GA</w:t>
    </w:r>
  </w:p>
  <w:p w14:paraId="002A2136" w14:textId="77777777" w:rsidR="00712469" w:rsidRDefault="00000000">
    <w:pPr>
      <w:spacing w:line="276" w:lineRule="auto"/>
      <w:jc w:val="center"/>
      <w:rPr>
        <w:b/>
        <w:bCs/>
        <w:sz w:val="24"/>
        <w:szCs w:val="24"/>
      </w:rPr>
    </w:pPr>
    <w:r>
      <w:rPr>
        <w:b/>
        <w:bCs/>
        <w:sz w:val="24"/>
        <w:szCs w:val="24"/>
      </w:rPr>
      <w:t xml:space="preserve">Email: </w:t>
    </w:r>
    <w:hyperlink r:id="rId1">
      <w:r>
        <w:rPr>
          <w:b/>
          <w:bCs/>
          <w:color w:val="1155CC"/>
          <w:sz w:val="24"/>
          <w:szCs w:val="24"/>
          <w:u w:val="single"/>
        </w:rPr>
        <w:t>ksuhsmun2526@gmail.com</w:t>
      </w:r>
    </w:hyperlink>
  </w:p>
  <w:p w14:paraId="6B48BE46" w14:textId="77777777" w:rsidR="00712469" w:rsidRDefault="00000000">
    <w:pPr>
      <w:spacing w:line="276" w:lineRule="auto"/>
      <w:jc w:val="center"/>
    </w:pPr>
    <w:r>
      <w:rPr>
        <w:noProof/>
      </w:rPr>
      <w:drawing>
        <wp:anchor distT="0" distB="0" distL="0" distR="0" simplePos="0" relativeHeight="251659264" behindDoc="1" locked="0" layoutInCell="1" hidden="0" allowOverlap="1" wp14:anchorId="1BEE6D95" wp14:editId="24EEA181">
          <wp:simplePos x="0" y="0"/>
          <wp:positionH relativeFrom="page">
            <wp:posOffset>66675</wp:posOffset>
          </wp:positionH>
          <wp:positionV relativeFrom="page">
            <wp:posOffset>64008</wp:posOffset>
          </wp:positionV>
          <wp:extent cx="942975" cy="94297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42975" cy="942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F44F6"/>
    <w:multiLevelType w:val="multilevel"/>
    <w:tmpl w:val="B74A1C3A"/>
    <w:lvl w:ilvl="0">
      <w:start w:val="1"/>
      <w:numFmt w:val="upperRoman"/>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BCF027D"/>
    <w:multiLevelType w:val="multilevel"/>
    <w:tmpl w:val="4AEE08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44202863">
    <w:abstractNumId w:val="1"/>
  </w:num>
  <w:num w:numId="2" w16cid:durableId="607544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469"/>
    <w:rsid w:val="00565E85"/>
    <w:rsid w:val="00712469"/>
    <w:rsid w:val="00771D6F"/>
    <w:rsid w:val="00E66C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1A05CD6"/>
  <w15:docId w15:val="{F723AFAF-F3D0-B04E-9279-44AB97AEC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6"/>
        <w:szCs w:val="16"/>
        <w:highlight w:val="white"/>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guinnessworldrecords.com/world-records/612868-first-incident-of-cyber-espionage?utm_source=chatgpt.com" TargetMode="External"/><Relationship Id="rId13" Type="http://schemas.openxmlformats.org/officeDocument/2006/relationships/hyperlink" Target="https://www.kaspersky.com/about/press-releases/kaspersky-warns-telecom-threats-from-2025-will-carry-into-2026-as-new-technology-adds-new-risk?utm_source=chatgpt.com" TargetMode="External"/><Relationship Id="rId18" Type="http://schemas.openxmlformats.org/officeDocument/2006/relationships/hyperlink" Target="https://www.itu.int/en/ITU-D/Cybersecurity/pages/global-cybersecurity-index.aspx?utm_source=chatgpt.com" TargetMode="External"/><Relationship Id="rId26" Type="http://schemas.openxmlformats.org/officeDocument/2006/relationships/hyperlink" Target="https://dig.watch/processes/un-gge?utm_source=chatgpt.com" TargetMode="External"/><Relationship Id="rId3" Type="http://schemas.openxmlformats.org/officeDocument/2006/relationships/hyperlink" Target="https://www.itu.int/hub/2025/11/guardians-of-the-airwaves-itu-radio-regulations-board/?utm_source=chatgpt.com" TargetMode="External"/><Relationship Id="rId21" Type="http://schemas.openxmlformats.org/officeDocument/2006/relationships/hyperlink" Target="https://www.itu.int/en/action/cybersecurity/pages/gca.aspx?utm_source=chatgpt.com" TargetMode="External"/><Relationship Id="rId7" Type="http://schemas.openxmlformats.org/officeDocument/2006/relationships/hyperlink" Target="https://www.darpa.mil/news/features/arpanet?utm_source=chatgpt.com" TargetMode="External"/><Relationship Id="rId12" Type="http://schemas.openxmlformats.org/officeDocument/2006/relationships/hyperlink" Target="https://www.kaspersky.com/about/press-releases/kaspersky-warns-telecom-threats-from-2025-will-carry-into-2026-as-new-technology-adds-new-risk?utm_source=chatgpt.com" TargetMode="External"/><Relationship Id="rId17" Type="http://schemas.openxmlformats.org/officeDocument/2006/relationships/hyperlink" Target="https://www.nokia.com/cybersecurity/threat-intelligence-report/?utm_source=chatgpt.com" TargetMode="External"/><Relationship Id="rId25" Type="http://schemas.openxmlformats.org/officeDocument/2006/relationships/hyperlink" Target="https://www.itu.int/en/ITU-D/Pages/default.aspx?utm_source=chatgpt.com" TargetMode="External"/><Relationship Id="rId2" Type="http://schemas.openxmlformats.org/officeDocument/2006/relationships/hyperlink" Target="https://www.itu.int/en/about/Pages/default.aspx?kbid=88458&amp;utm_source=chatgpt.com" TargetMode="External"/><Relationship Id="rId16" Type="http://schemas.openxmlformats.org/officeDocument/2006/relationships/hyperlink" Target="https://www.nokia.com/cybersecurity/threat-intelligence-report/?utm_source=chatgpt.com" TargetMode="External"/><Relationship Id="rId20" Type="http://schemas.openxmlformats.org/officeDocument/2006/relationships/hyperlink" Target="https://www.itu.int/en/action/cybersecurity/pages/gca.aspx?utm_source=chatgpt.com" TargetMode="External"/><Relationship Id="rId1" Type="http://schemas.openxmlformats.org/officeDocument/2006/relationships/hyperlink" Target="https://www.itu.int/en/about/Pages/default.aspx?kbid=88458&amp;utm_source=chatgpt.com" TargetMode="External"/><Relationship Id="rId6" Type="http://schemas.openxmlformats.org/officeDocument/2006/relationships/hyperlink" Target="https://www.darpa.mil/news/features/arpanet?utm_source=chatgpt.com" TargetMode="External"/><Relationship Id="rId11" Type="http://schemas.openxmlformats.org/officeDocument/2006/relationships/hyperlink" Target="https://www.fbi.gov/history/famous-cases/morris-worm?utm_source=chatgpt.com" TargetMode="External"/><Relationship Id="rId24" Type="http://schemas.openxmlformats.org/officeDocument/2006/relationships/hyperlink" Target="https://www.itu.int/en/ITU-D/Pages/default.aspx?utm_source=chatgpt.com" TargetMode="External"/><Relationship Id="rId5" Type="http://schemas.openxmlformats.org/officeDocument/2006/relationships/hyperlink" Target="https://doi.org/10.1109/JRPROC.1947.234265" TargetMode="External"/><Relationship Id="rId15" Type="http://schemas.openxmlformats.org/officeDocument/2006/relationships/hyperlink" Target="https://www.itu.int/osg/csd/cybersecurity/gca/global_strategic_report/chapt_5_iframe.htm?utm_source=chatgpt.com" TargetMode="External"/><Relationship Id="rId23" Type="http://schemas.openxmlformats.org/officeDocument/2006/relationships/hyperlink" Target="https://www.itu.int/epublications/publication/global-cybersecurity-index-2024?utm_source=chatgpt.com" TargetMode="External"/><Relationship Id="rId10" Type="http://schemas.openxmlformats.org/officeDocument/2006/relationships/hyperlink" Target="https://www.fbi.gov/history/famous-cases/morris-worm?utm_source=chatgpt.com" TargetMode="External"/><Relationship Id="rId19" Type="http://schemas.openxmlformats.org/officeDocument/2006/relationships/hyperlink" Target="https://www.itu.int/en/ITU-D/Cybersecurity/pages/global-cybersecurity-index.aspx?utm_source=chatgpt.com" TargetMode="External"/><Relationship Id="rId4" Type="http://schemas.openxmlformats.org/officeDocument/2006/relationships/hyperlink" Target="https://plato.stanford.edu/archives/win2011/entries/computing-history/" TargetMode="External"/><Relationship Id="rId9" Type="http://schemas.openxmlformats.org/officeDocument/2006/relationships/hyperlink" Target="https://www.guinnessworldrecords.com/world-records/612868-first-incident-of-cyber-espionage?utm_source=chatgpt.com" TargetMode="External"/><Relationship Id="rId14" Type="http://schemas.openxmlformats.org/officeDocument/2006/relationships/hyperlink" Target="https://www.itu.int/osg/csd/cybersecurity/gca/global_strategic_report/chapt_5_iframe.htm?utm_source=chatgpt.com" TargetMode="External"/><Relationship Id="rId22" Type="http://schemas.openxmlformats.org/officeDocument/2006/relationships/hyperlink" Target="https://www.itu.int/epublications/publication/global-cybersecurity-index-2024?utm_source=chatgpt.com" TargetMode="External"/><Relationship Id="rId27" Type="http://schemas.openxmlformats.org/officeDocument/2006/relationships/hyperlink" Target="https://dig.watch/processes/un-gge?utm_source=chatg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mailto:ksuhsmun252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4MJDqBfQPwntsVB6fyu/+tR0A==">CgMxLjA4AHIhMVpienJ6TjBJaG4wWVpKdVVKUXlUZzVJX0tpN3Z0ZHRz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5065</Words>
  <Characters>29074</Characters>
  <Application>Microsoft Office Word</Application>
  <DocSecurity>0</DocSecurity>
  <Lines>382</Lines>
  <Paragraphs>64</Paragraphs>
  <ScaleCrop>false</ScaleCrop>
  <Company/>
  <LinksUpToDate>false</LinksUpToDate>
  <CharactersWithSpaces>34075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Hauser</cp:lastModifiedBy>
  <cp:revision>2</cp:revision>
  <dcterms:created xsi:type="dcterms:W3CDTF">2022-01-28T01:31:00Z</dcterms:created>
  <dcterms:modified xsi:type="dcterms:W3CDTF">2026-01-26T22:03:00Z</dcterms:modified>
</cp:coreProperties>
</file>