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Esteemed Delegates</w:t>
      </w:r>
    </w:p>
    <w:p w:rsidR="00000000" w:rsidDel="00000000" w:rsidP="00000000" w:rsidRDefault="00000000" w:rsidRPr="00000000" w14:paraId="00000002">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our pleasure to welcome you all to the 2026 Kennesaw State University High School Model United Nations Conference. My name is Derya Aydin and I have the honor of serving as your Director of the United Nations Peacebuilding Commission. This is my fourth year being part of Kennesaw State University’s HSMUN Conference with three years of experience competing with KSU’s Model UN team. I am a recent KSU alumna and am working with an international non-governmental organization that promotes peacebuilding and conflict resolution skills amongst school-aged students and emerging leaders. A fun fact about me is that outside of work I love to sew and knit. I look forward to hearing and all the solutions proposed at this year's conference.</w:t>
      </w:r>
    </w:p>
    <w:p w:rsidR="00000000" w:rsidDel="00000000" w:rsidP="00000000" w:rsidRDefault="00000000" w:rsidRPr="00000000" w14:paraId="00000003">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Our committee’s Assistant Directors are Nyx Poarch and Jovanni Alvarez . Nyx is a second year Biology major and premed student. This is their first year as part of HSMUN and second year competing for KSU’s Model UN team while also being the active Treasurer. Nyx is currently in the process of getting their CNA certification and beginning to work in the hospital setting. A fun fact about Nyx is that they have read over 100 books every year since middle school. Jovanni is a first year Psychology major and this is also his first year as a part of HSMUN and KSU’s Model UN team. He plans on attending a conference in the upcoming Spring semester, but for the Fall, he’s working on building his resume and portfolio. Outside of Model UN, Jovanni enjoys survival horror games and is an avid collector. </w:t>
      </w:r>
    </w:p>
    <w:p w:rsidR="00000000" w:rsidDel="00000000" w:rsidP="00000000" w:rsidRDefault="00000000" w:rsidRPr="00000000" w14:paraId="00000004">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The topics under discussion for United Nations Peacebuilding Commission:</w:t>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Designing Credible Justice Mechanisms which Address Abuses of Human Rights</w:t>
      </w:r>
    </w:p>
    <w:p w:rsidR="00000000" w:rsidDel="00000000" w:rsidP="00000000" w:rsidRDefault="00000000" w:rsidRPr="00000000" w14:paraId="00000008">
      <w:pPr>
        <w:numPr>
          <w:ilvl w:val="0"/>
          <w:numId w:val="1"/>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Addressing Reintegration of Child Soldiers in Post-Conflict Zones through Disarmament, Demobilization, and Reintegration (DDR) Initiatives</w:t>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Member State delegation within this committee is expected to submit a position paper which covers both of the agenda topics. A position paper is a short essay describing your Member State’s history and position on the issues at hand. There are three key parts to any successful position paper: history, current status of the issue, and possible solutions for the future. Information for properly formatting the position papers, as well as valuable advice for writing a quality paper, can be found in the Delegate Preparation section of the HSMUN webpage (https://conference.kennesaw.edu/hsmun/). Delegates are reminded that papers should be no longer than two pages in length with titles in size 12 and text in size 10-12 Times New Roman. Citations should be footnoted in Chicago style formatting, such as those used inside this guide. Furthermore, plagiarism in an academic setting is unacceptable and will nullify any score for the paper in question. During the grading process, we will be utilizing the university’s plagiarism checker. Wikipedia is a wonderful place to begin researching, but we highly encourage the use of peer-reviewed academic articles or trusted media sources. The objective of a position paper is to present the diplomatic position of your Member State on both agenda topics as accurately as possible.</w:t>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z w:val="20"/>
          <w:szCs w:val="20"/>
          <w:u w:val="single"/>
          <w:rtl w:val="0"/>
        </w:rPr>
        <w:t xml:space="preserve">All position papers MUST be sent to ksuhsmun2526@gmail.com by February 20th, 2026. Late papers will be accepted until February 25th, 2026 with points penalized.</w:t>
      </w:r>
      <w:r w:rsidDel="00000000" w:rsidR="00000000" w:rsidRPr="00000000">
        <w:rPr>
          <w:rFonts w:ascii="Times New Roman" w:cs="Times New Roman" w:eastAsia="Times New Roman" w:hAnsi="Times New Roman"/>
          <w:b w:val="1"/>
          <w:bCs w:val="1"/>
          <w:sz w:val="20"/>
          <w:szCs w:val="20"/>
          <w:rtl w:val="0"/>
        </w:rPr>
        <w:tab/>
      </w:r>
      <w:r w:rsidDel="00000000" w:rsidR="00000000" w:rsidRPr="00000000">
        <w:br w:type="page"/>
      </w:r>
      <w:r w:rsidDel="00000000" w:rsidR="00000000" w:rsidRPr="00000000">
        <w:rPr>
          <w:rtl w:val="0"/>
        </w:rPr>
      </w:r>
    </w:p>
    <w:p w:rsidR="00000000" w:rsidDel="00000000" w:rsidP="00000000" w:rsidRDefault="00000000" w:rsidRPr="00000000" w14:paraId="0000000D">
      <w:pPr>
        <w:spacing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E">
      <w:pPr>
        <w:spacing w:line="240" w:lineRule="auto"/>
        <w:ind w:lef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History of the United Nations Peacebuilding Commission</w:t>
      </w:r>
    </w:p>
    <w:p w:rsidR="00000000" w:rsidDel="00000000" w:rsidP="00000000" w:rsidRDefault="00000000" w:rsidRPr="00000000" w14:paraId="0000000F">
      <w:pPr>
        <w:spacing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0">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Formed on December 20, 2005, as a joint effort between the United Nations General Assembly and the Security Council, the United Nations Peacebuilding Commission (PBC) is an intergovernmental advisory body mandated by resolutions A/RES/60/180 and S/RES/1645 (2005) to bring together Member States, organizations, and resources “to advise [the Security Council and General Assembly] on and propose integrated strategies for post-conflict peacebuilding and recovery.”</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Moreover, A/RES/60/180 encourages the Peacebuilding Commission to “marshal resources” by working with “relevant actors” alongside the United Nations (UN) Security Council in pursuit of improving coordination and promoting conflict recovery.</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spacing w:line="240" w:lineRule="auto"/>
        <w:ind w:left="0" w:firstLine="72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Resolutions A/RES/70/262 and S/RES/2282 (2016) further mandated the PBC to “advise the General Assembly and the Security Council on peacebuilding and sustaining peace; to promote an integrated, strategic and coherent approach to peacebuilding; to act as a bridge among the principal organs and relevant UN entities by sharing advice on the peacebuilding needs and priorities; and to convene all relevant actors within and outside the United Nations.”</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rtl w:val="0"/>
        </w:rPr>
        <w:t xml:space="preserve"> The resolutions above also enhance the advisory position that the PBC holds, mandating the PBC “to provide political accompaniment and advocacy to conflict-affected [Member States], with their consent.”</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 Then, resolutions A/RES/75/201 and S/RES/2558 (2020) requested of the PBC to further strengthen its Mandate by bringing national, regional, and international goals together through the facilitation of communication and encouraging these actors to utilize the PBC’s advisory board.</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12">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PBC is made up of 31 Member States in its “Organizational Committee,” with seven Member States elected from: the General Assembly, the Security Council, and the Economic and Social Council. For the remaining ten Member States, five are selected from the largest providers of military and police personnel to the UN and five are selected from the largest providers to the United Nations budgets.</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Fonts w:ascii="Times New Roman" w:cs="Times New Roman" w:eastAsia="Times New Roman" w:hAnsi="Times New Roman"/>
          <w:sz w:val="20"/>
          <w:szCs w:val="20"/>
          <w:rtl w:val="0"/>
        </w:rPr>
        <w:t xml:space="preserve"> Resolution 60/180 (2005) further clarified that these Member State selections should consider regional affiliation and provide due consideration to Member States that are in a period of post-conflict recovery.</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Fonts w:ascii="Times New Roman" w:cs="Times New Roman" w:eastAsia="Times New Roman" w:hAnsi="Times New Roman"/>
          <w:sz w:val="20"/>
          <w:szCs w:val="20"/>
          <w:rtl w:val="0"/>
        </w:rPr>
        <w:t xml:space="preserve"> In addition to the Member States present, many international entities can participate including: </w:t>
      </w:r>
      <w:r w:rsidDel="00000000" w:rsidR="00000000" w:rsidRPr="00000000">
        <w:rPr>
          <w:rFonts w:ascii="Times New Roman" w:cs="Times New Roman" w:eastAsia="Times New Roman" w:hAnsi="Times New Roman"/>
          <w:sz w:val="20"/>
          <w:szCs w:val="20"/>
          <w:highlight w:val="white"/>
          <w:rtl w:val="0"/>
        </w:rPr>
        <w:t xml:space="preserve">African Union, Caribbean Community, European Union, International Monetary Fund, Organization of Islamic Cooperation, and the World Bank.</w:t>
      </w:r>
      <w:r w:rsidDel="00000000" w:rsidR="00000000" w:rsidRPr="00000000">
        <w:rPr>
          <w:rFonts w:ascii="Times New Roman" w:cs="Times New Roman" w:eastAsia="Times New Roman" w:hAnsi="Times New Roman"/>
          <w:sz w:val="20"/>
          <w:szCs w:val="20"/>
          <w:highlight w:val="white"/>
          <w:vertAlign w:val="superscript"/>
        </w:rPr>
        <w:footnoteReference w:customMarkFollows="0" w:id="7"/>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0"/>
          <w:szCs w:val="20"/>
          <w:rtl w:val="0"/>
        </w:rPr>
        <w:t xml:space="preserve">The PBC may also invite Member States who are not elected members, relevant UN bodies, international financial institutions, civil society organizations, youth and women organizations, and regional and subregional organizations to participate in its meetings.</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 This constantly changing leadership allows for the body to adapt to the differing demands that are required of the body and different regions are selected from for the positions each year.</w:t>
      </w:r>
      <w:r w:rsidDel="00000000" w:rsidR="00000000" w:rsidRPr="00000000">
        <w:rPr>
          <w:rFonts w:ascii="Times New Roman" w:cs="Times New Roman" w:eastAsia="Times New Roman" w:hAnsi="Times New Roman"/>
          <w:sz w:val="20"/>
          <w:szCs w:val="20"/>
          <w:vertAlign w:val="superscript"/>
        </w:rPr>
        <w:footnoteReference w:customMarkFollows="0" w:id="9"/>
      </w:r>
      <w:r w:rsidDel="00000000" w:rsidR="00000000" w:rsidRPr="00000000">
        <w:rPr>
          <w:rFonts w:ascii="Times New Roman" w:cs="Times New Roman" w:eastAsia="Times New Roman" w:hAnsi="Times New Roman"/>
          <w:sz w:val="20"/>
          <w:szCs w:val="20"/>
          <w:rtl w:val="0"/>
        </w:rPr>
        <w:t xml:space="preserve"> The PBC hosts various annual meetings, such as its meeting on women, peace, and security, but most of the body’s meetings are called as needed by the General Assembly and Security Council.</w:t>
      </w:r>
      <w:r w:rsidDel="00000000" w:rsidR="00000000" w:rsidRPr="00000000">
        <w:rPr>
          <w:rFonts w:ascii="Times New Roman" w:cs="Times New Roman" w:eastAsia="Times New Roman" w:hAnsi="Times New Roman"/>
          <w:sz w:val="20"/>
          <w:szCs w:val="20"/>
          <w:vertAlign w:val="superscript"/>
        </w:rPr>
        <w:footnoteReference w:customMarkFollows="0" w:id="10"/>
      </w:r>
      <w:r w:rsidDel="00000000" w:rsidR="00000000" w:rsidRPr="00000000">
        <w:rPr>
          <w:rFonts w:ascii="Times New Roman" w:cs="Times New Roman" w:eastAsia="Times New Roman" w:hAnsi="Times New Roman"/>
          <w:sz w:val="20"/>
          <w:szCs w:val="20"/>
          <w:rtl w:val="0"/>
        </w:rPr>
        <w:t xml:space="preserve"> Alongside these meetings, the PBC also holds the responsibility to submit an annual report to the General Assembly of all peacebuilding missions and challenges that the commission is facing.</w:t>
      </w:r>
      <w:r w:rsidDel="00000000" w:rsidR="00000000" w:rsidRPr="00000000">
        <w:rPr>
          <w:rFonts w:ascii="Times New Roman" w:cs="Times New Roman" w:eastAsia="Times New Roman" w:hAnsi="Times New Roman"/>
          <w:sz w:val="20"/>
          <w:szCs w:val="20"/>
          <w:vertAlign w:val="superscript"/>
        </w:rPr>
        <w:footnoteReference w:customMarkFollows="0" w:id="11"/>
      </w:r>
      <w:r w:rsidDel="00000000" w:rsidR="00000000" w:rsidRPr="00000000">
        <w:rPr>
          <w:rtl w:val="0"/>
        </w:rPr>
      </w:r>
    </w:p>
    <w:p w:rsidR="00000000" w:rsidDel="00000000" w:rsidP="00000000" w:rsidRDefault="00000000" w:rsidRPr="00000000" w14:paraId="00000013">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accordance with A/RES/60/180 and S/RES/1645 (2005), the UN Secretary-General’s Peacebuilding Fund (PBF) was created as the PBC’s source of funding and tool to create and maintain peace in areas where Member States could be at risk of conflict.</w:t>
      </w:r>
      <w:r w:rsidDel="00000000" w:rsidR="00000000" w:rsidRPr="00000000">
        <w:rPr>
          <w:rFonts w:ascii="Times New Roman" w:cs="Times New Roman" w:eastAsia="Times New Roman" w:hAnsi="Times New Roman"/>
          <w:sz w:val="20"/>
          <w:szCs w:val="20"/>
          <w:vertAlign w:val="superscript"/>
        </w:rPr>
        <w:footnoteReference w:customMarkFollows="0" w:id="12"/>
      </w:r>
      <w:r w:rsidDel="00000000" w:rsidR="00000000" w:rsidRPr="00000000">
        <w:rPr>
          <w:rFonts w:ascii="Times New Roman" w:cs="Times New Roman" w:eastAsia="Times New Roman" w:hAnsi="Times New Roman"/>
          <w:sz w:val="20"/>
          <w:szCs w:val="20"/>
          <w:rtl w:val="0"/>
        </w:rPr>
        <w:t xml:space="preserve"> Since the inception of the fund in 2006, 64 Member States have provided for the fund, allowing the commission to allocate approximately 1.67 billion dollars USD to 65 Member States.</w:t>
      </w:r>
      <w:r w:rsidDel="00000000" w:rsidR="00000000" w:rsidRPr="00000000">
        <w:rPr>
          <w:rFonts w:ascii="Times New Roman" w:cs="Times New Roman" w:eastAsia="Times New Roman" w:hAnsi="Times New Roman"/>
          <w:sz w:val="20"/>
          <w:szCs w:val="20"/>
          <w:vertAlign w:val="superscript"/>
        </w:rPr>
        <w:footnoteReference w:customMarkFollows="0" w:id="13"/>
      </w:r>
      <w:r w:rsidDel="00000000" w:rsidR="00000000" w:rsidRPr="00000000">
        <w:rPr>
          <w:rFonts w:ascii="Times New Roman" w:cs="Times New Roman" w:eastAsia="Times New Roman" w:hAnsi="Times New Roman"/>
          <w:sz w:val="20"/>
          <w:szCs w:val="20"/>
          <w:rtl w:val="0"/>
        </w:rPr>
        <w:t xml:space="preserve"> However, despite their close working relationship, the PBF is not directly controlled by the PBC, it is instead under the jurisdiction of the Secretary-General set aside for the purposes of peacebuilding in post-conflict and at-risk areas.</w:t>
      </w:r>
      <w:r w:rsidDel="00000000" w:rsidR="00000000" w:rsidRPr="00000000">
        <w:rPr>
          <w:rFonts w:ascii="Times New Roman" w:cs="Times New Roman" w:eastAsia="Times New Roman" w:hAnsi="Times New Roman"/>
          <w:sz w:val="20"/>
          <w:szCs w:val="20"/>
          <w:vertAlign w:val="superscript"/>
        </w:rPr>
        <w:footnoteReference w:customMarkFollows="0" w:id="14"/>
      </w:r>
      <w:r w:rsidDel="00000000" w:rsidR="00000000" w:rsidRPr="00000000">
        <w:rPr>
          <w:rFonts w:ascii="Times New Roman" w:cs="Times New Roman" w:eastAsia="Times New Roman" w:hAnsi="Times New Roman"/>
          <w:sz w:val="20"/>
          <w:szCs w:val="20"/>
          <w:rtl w:val="0"/>
        </w:rPr>
        <w:t xml:space="preserve"> A/RES/60/180 and S/RES/1645(2005) also established the Peacebuilding Support Office (PBSO) to assist and support the PBC to administer the Peacebuilding Fund (PBF).</w:t>
      </w:r>
      <w:r w:rsidDel="00000000" w:rsidR="00000000" w:rsidRPr="00000000">
        <w:rPr>
          <w:rFonts w:ascii="Times New Roman" w:cs="Times New Roman" w:eastAsia="Times New Roman" w:hAnsi="Times New Roman"/>
          <w:sz w:val="20"/>
          <w:szCs w:val="20"/>
          <w:vertAlign w:val="superscript"/>
        </w:rPr>
        <w:footnoteReference w:customMarkFollows="0" w:id="15"/>
      </w:r>
      <w:r w:rsidDel="00000000" w:rsidR="00000000" w:rsidRPr="00000000">
        <w:rPr>
          <w:rFonts w:ascii="Times New Roman" w:cs="Times New Roman" w:eastAsia="Times New Roman" w:hAnsi="Times New Roman"/>
          <w:sz w:val="20"/>
          <w:szCs w:val="20"/>
          <w:rtl w:val="0"/>
        </w:rPr>
        <w:t xml:space="preserve"> The PBSO comprises the Peacebuilding Commission Support Branch, the Peacebuilding Strategy and Partnerships Branch, and the Financing for Peacebuilding Branch.</w:t>
      </w:r>
      <w:r w:rsidDel="00000000" w:rsidR="00000000" w:rsidRPr="00000000">
        <w:rPr>
          <w:rFonts w:ascii="Times New Roman" w:cs="Times New Roman" w:eastAsia="Times New Roman" w:hAnsi="Times New Roman"/>
          <w:sz w:val="20"/>
          <w:szCs w:val="20"/>
          <w:vertAlign w:val="superscript"/>
        </w:rPr>
        <w:footnoteReference w:customMarkFollows="0" w:id="16"/>
      </w:r>
      <w:r w:rsidDel="00000000" w:rsidR="00000000" w:rsidRPr="00000000">
        <w:rPr>
          <w:rtl w:val="0"/>
        </w:rPr>
      </w:r>
    </w:p>
    <w:p w:rsidR="00000000" w:rsidDel="00000000" w:rsidP="00000000" w:rsidRDefault="00000000" w:rsidRPr="00000000" w14:paraId="00000014">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United Nations Secretary-General appoints members to the PBF Advisory Group which provides advice and oversight on the appropriateness and speed of allocations, programming, and policies of the PBF. Membership of the Advisory Group is gender-balanced and geographically diverse to ensure effective peacebuilding efforts. The PBF Advisory Group is guided by the Peacebuilding Architecture Review (PBAR) whose process is designed to refine and strengthen UN peacebuilding efforts and is reviewed every five years.</w:t>
      </w:r>
      <w:r w:rsidDel="00000000" w:rsidR="00000000" w:rsidRPr="00000000">
        <w:rPr>
          <w:rFonts w:ascii="Times New Roman" w:cs="Times New Roman" w:eastAsia="Times New Roman" w:hAnsi="Times New Roman"/>
          <w:sz w:val="20"/>
          <w:szCs w:val="20"/>
          <w:vertAlign w:val="superscript"/>
        </w:rPr>
        <w:footnoteReference w:customMarkFollows="0" w:id="17"/>
      </w:r>
      <w:r w:rsidDel="00000000" w:rsidR="00000000" w:rsidRPr="00000000">
        <w:rPr>
          <w:rFonts w:ascii="Times New Roman" w:cs="Times New Roman" w:eastAsia="Times New Roman" w:hAnsi="Times New Roman"/>
          <w:sz w:val="20"/>
          <w:szCs w:val="20"/>
          <w:rtl w:val="0"/>
        </w:rPr>
        <w:t xml:space="preserve"> In 2025, the PBAR underwent its formal phase which reviewed the informal phase’s progress and reflections on implementations of resolutions on the peacebuilding architecture and the 2024 Secretary-General’s Report on Peacebuilding and Sustaining Peace.</w:t>
      </w:r>
      <w:r w:rsidDel="00000000" w:rsidR="00000000" w:rsidRPr="00000000">
        <w:rPr>
          <w:rFonts w:ascii="Times New Roman" w:cs="Times New Roman" w:eastAsia="Times New Roman" w:hAnsi="Times New Roman"/>
          <w:sz w:val="20"/>
          <w:szCs w:val="20"/>
          <w:vertAlign w:val="superscript"/>
        </w:rPr>
        <w:footnoteReference w:customMarkFollows="0" w:id="18"/>
      </w:r>
      <w:r w:rsidDel="00000000" w:rsidR="00000000" w:rsidRPr="00000000">
        <w:rPr>
          <w:rFonts w:ascii="Times New Roman" w:cs="Times New Roman" w:eastAsia="Times New Roman" w:hAnsi="Times New Roman"/>
          <w:sz w:val="20"/>
          <w:szCs w:val="20"/>
          <w:rtl w:val="0"/>
        </w:rPr>
        <w:t xml:space="preserve"> During the 2025 formal review stage, Egypt for the General Assembly and Slovenia for the Security Council have been appointed to conduct intergovernmental consultations aimed at producing recommendations for consideration for the General Assembly and Security Council.</w:t>
      </w:r>
      <w:r w:rsidDel="00000000" w:rsidR="00000000" w:rsidRPr="00000000">
        <w:rPr>
          <w:rFonts w:ascii="Times New Roman" w:cs="Times New Roman" w:eastAsia="Times New Roman" w:hAnsi="Times New Roman"/>
          <w:sz w:val="20"/>
          <w:szCs w:val="20"/>
          <w:vertAlign w:val="superscript"/>
        </w:rPr>
        <w:footnoteReference w:customMarkFollows="0" w:id="19"/>
      </w:r>
      <w:r w:rsidDel="00000000" w:rsidR="00000000" w:rsidRPr="00000000">
        <w:rPr>
          <w:rFonts w:ascii="Times New Roman" w:cs="Times New Roman" w:eastAsia="Times New Roman" w:hAnsi="Times New Roman"/>
          <w:sz w:val="20"/>
          <w:szCs w:val="20"/>
          <w:rtl w:val="0"/>
        </w:rPr>
        <w:t xml:space="preserve"> Despite the PBC’s recent investments and successes, the Security Council has called for an increase in financing for conflict prevention and peacebuilding as the current costs of responding to crises have been unsustainable.</w:t>
      </w:r>
      <w:r w:rsidDel="00000000" w:rsidR="00000000" w:rsidRPr="00000000">
        <w:br w:type="page"/>
      </w:r>
      <w:r w:rsidDel="00000000" w:rsidR="00000000" w:rsidRPr="00000000">
        <w:rPr>
          <w:rtl w:val="0"/>
        </w:rPr>
      </w:r>
    </w:p>
    <w:p w:rsidR="00000000" w:rsidDel="00000000" w:rsidP="00000000" w:rsidRDefault="00000000" w:rsidRPr="00000000" w14:paraId="00000015">
      <w:pPr>
        <w:spacing w:line="240" w:lineRule="auto"/>
        <w:ind w:left="0"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numPr>
          <w:ilvl w:val="0"/>
          <w:numId w:val="2"/>
        </w:numPr>
        <w:spacing w:line="240" w:lineRule="auto"/>
        <w:ind w:left="720"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Designing Credible Justice Mechanisms Which Address Abuses of Human Rights</w:t>
      </w:r>
    </w:p>
    <w:p w:rsidR="00000000" w:rsidDel="00000000" w:rsidP="00000000" w:rsidRDefault="00000000" w:rsidRPr="00000000" w14:paraId="00000017">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8">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 </w:t>
      </w:r>
    </w:p>
    <w:p w:rsidR="00000000" w:rsidDel="00000000" w:rsidP="00000000" w:rsidRDefault="00000000" w:rsidRPr="00000000" w14:paraId="00000019">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A">
      <w:pPr>
        <w:spacing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ab/>
        <w:t xml:space="preserve">The Universal Declaration of Human Rights (UDHR) is the foundational document for international human rights law that was adopted by the UN General Assembly in 1948 and established the standards which justice mechanisms must uphold.</w:t>
      </w:r>
      <w:r w:rsidDel="00000000" w:rsidR="00000000" w:rsidRPr="00000000">
        <w:rPr>
          <w:rFonts w:ascii="Times New Roman" w:cs="Times New Roman" w:eastAsia="Times New Roman" w:hAnsi="Times New Roman"/>
          <w:sz w:val="20"/>
          <w:szCs w:val="20"/>
          <w:vertAlign w:val="superscript"/>
        </w:rPr>
        <w:footnoteReference w:customMarkFollows="0" w:id="20"/>
      </w:r>
      <w:r w:rsidDel="00000000" w:rsidR="00000000" w:rsidRPr="00000000">
        <w:rPr>
          <w:rFonts w:ascii="Times New Roman" w:cs="Times New Roman" w:eastAsia="Times New Roman" w:hAnsi="Times New Roman"/>
          <w:sz w:val="20"/>
          <w:szCs w:val="20"/>
          <w:rtl w:val="0"/>
        </w:rPr>
        <w:t xml:space="preserve"> While the UDHR itself is not legally binding, it is recognized as the basis for over 70 human rights treaties and has established the standard that justice mechanisms such as criminal courts, truth commissions, or special human rights monitoring bodies must uphold. The UDHR established the legitimacy and universality of rights and freedoms such as the “right to life, liberty, and security of person”, freedom from slavery or cruel punishment, and guaranteed equal and fair hearing by an “independent and impartial tribunal”.</w:t>
      </w:r>
      <w:r w:rsidDel="00000000" w:rsidR="00000000" w:rsidRPr="00000000">
        <w:rPr>
          <w:rFonts w:ascii="Times New Roman" w:cs="Times New Roman" w:eastAsia="Times New Roman" w:hAnsi="Times New Roman"/>
          <w:sz w:val="20"/>
          <w:szCs w:val="20"/>
          <w:vertAlign w:val="superscript"/>
        </w:rPr>
        <w:footnoteReference w:customMarkFollows="0" w:id="21"/>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B">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Transitional justice refers to the processes and mechanisms a society may utilize to address large-scale or systematic human rights abuses, repression, or conflict.</w:t>
      </w:r>
      <w:r w:rsidDel="00000000" w:rsidR="00000000" w:rsidRPr="00000000">
        <w:rPr>
          <w:rFonts w:ascii="Times New Roman" w:cs="Times New Roman" w:eastAsia="Times New Roman" w:hAnsi="Times New Roman"/>
          <w:sz w:val="20"/>
          <w:szCs w:val="20"/>
          <w:vertAlign w:val="superscript"/>
        </w:rPr>
        <w:footnoteReference w:customMarkFollows="0" w:id="22"/>
      </w:r>
      <w:r w:rsidDel="00000000" w:rsidR="00000000" w:rsidRPr="00000000">
        <w:rPr>
          <w:rFonts w:ascii="Times New Roman" w:cs="Times New Roman" w:eastAsia="Times New Roman" w:hAnsi="Times New Roman"/>
          <w:sz w:val="20"/>
          <w:szCs w:val="20"/>
          <w:rtl w:val="0"/>
        </w:rPr>
        <w:t xml:space="preserve"> Transitional justice processes can take many forms of judicial or non-judicial mechanisms, including reparations or prosecution initiatives, as well as measures designed to prevent recurrence of violations, such as historical and educational reform, constitutional, legal, or institutional reform, and the strengthening of civil society. Such processes are typically utilized during transitional periods, such as from a period of conflict to a period of peace.</w:t>
      </w:r>
    </w:p>
    <w:p w:rsidR="00000000" w:rsidDel="00000000" w:rsidP="00000000" w:rsidRDefault="00000000" w:rsidRPr="00000000" w14:paraId="0000001C">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Justice mechanisms play a crucial role in holding perpetrators accountable, protecting victims, and rebuilding trust in societies where abuses of human rights have occurred. Credible justice mechanisms also help strengthen the Rule of Law and the three pillars in which the UN is built: “international peace and security, human rights, and development.”</w:t>
      </w:r>
      <w:r w:rsidDel="00000000" w:rsidR="00000000" w:rsidRPr="00000000">
        <w:rPr>
          <w:rFonts w:ascii="Times New Roman" w:cs="Times New Roman" w:eastAsia="Times New Roman" w:hAnsi="Times New Roman"/>
          <w:sz w:val="20"/>
          <w:szCs w:val="20"/>
          <w:vertAlign w:val="superscript"/>
        </w:rPr>
        <w:footnoteReference w:customMarkFollows="0" w:id="23"/>
      </w:r>
      <w:r w:rsidDel="00000000" w:rsidR="00000000" w:rsidRPr="00000000">
        <w:rPr>
          <w:rFonts w:ascii="Times New Roman" w:cs="Times New Roman" w:eastAsia="Times New Roman" w:hAnsi="Times New Roman"/>
          <w:sz w:val="20"/>
          <w:szCs w:val="20"/>
          <w:rtl w:val="0"/>
        </w:rPr>
        <w:t xml:space="preserve"> Under the principle of the Rule of Law, “all persons, institutions and entities, public and private, including the State itself, are accountable to laws that are publicly promulgated, equally enforced, and independently adjudicated, and which are consistent with international norms and standards.”</w:t>
      </w:r>
      <w:r w:rsidDel="00000000" w:rsidR="00000000" w:rsidRPr="00000000">
        <w:rPr>
          <w:rFonts w:ascii="Times New Roman" w:cs="Times New Roman" w:eastAsia="Times New Roman" w:hAnsi="Times New Roman"/>
          <w:sz w:val="20"/>
          <w:szCs w:val="20"/>
          <w:vertAlign w:val="superscript"/>
        </w:rPr>
        <w:footnoteReference w:customMarkFollows="0" w:id="24"/>
      </w:r>
      <w:r w:rsidDel="00000000" w:rsidR="00000000" w:rsidRPr="00000000">
        <w:rPr>
          <w:rFonts w:ascii="Times New Roman" w:cs="Times New Roman" w:eastAsia="Times New Roman" w:hAnsi="Times New Roman"/>
          <w:sz w:val="20"/>
          <w:szCs w:val="20"/>
          <w:rtl w:val="0"/>
        </w:rPr>
        <w:t xml:space="preserve"> The Rule of Law ensures impartial equality and accountability to the law for all and is fundamental to international peace, security, and political stability. When failure to prosecute abuses occurs, faith in legal institutions is lost, contributing to cycles of conflict, repression, and instability. Without the public’s trust or confidence in judicial mechanisms, even well-designed systems may fail to prevent future abuses. As human rights abuses grow more complex and authoritative regimes and unjust abuses of power are on the rise, it is crucial that credible justice mechanisms continue to actively adapt to address these abuses.</w:t>
      </w:r>
      <w:r w:rsidDel="00000000" w:rsidR="00000000" w:rsidRPr="00000000">
        <w:rPr>
          <w:rFonts w:ascii="Times New Roman" w:cs="Times New Roman" w:eastAsia="Times New Roman" w:hAnsi="Times New Roman"/>
          <w:sz w:val="20"/>
          <w:szCs w:val="20"/>
          <w:vertAlign w:val="superscript"/>
        </w:rPr>
        <w:footnoteReference w:customMarkFollows="0" w:id="25"/>
      </w:r>
      <w:r w:rsidDel="00000000" w:rsidR="00000000" w:rsidRPr="00000000">
        <w:rPr>
          <w:rtl w:val="0"/>
        </w:rPr>
      </w:r>
    </w:p>
    <w:p w:rsidR="00000000" w:rsidDel="00000000" w:rsidP="00000000" w:rsidRDefault="00000000" w:rsidRPr="00000000" w14:paraId="0000001D">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1F">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Human rights abuses are littered throughout mankind’s history: enslavement, forced displacement, authoritarian rule, legal inequality, colonialism, and genocide. First recognized as a crime under international law in 1946 by the UN General Assembly through A/RES/96-I, genocide was later codified as an independent crime in the 1948 Convention on the Prevention and Punishment of the Crime of Genocide, also known as the Geneva Convention.</w:t>
      </w:r>
      <w:r w:rsidDel="00000000" w:rsidR="00000000" w:rsidRPr="00000000">
        <w:rPr>
          <w:rFonts w:ascii="Times New Roman" w:cs="Times New Roman" w:eastAsia="Times New Roman" w:hAnsi="Times New Roman"/>
          <w:sz w:val="20"/>
          <w:szCs w:val="20"/>
          <w:vertAlign w:val="superscript"/>
        </w:rPr>
        <w:footnoteReference w:customMarkFollows="0" w:id="26"/>
      </w:r>
      <w:r w:rsidDel="00000000" w:rsidR="00000000" w:rsidRPr="00000000">
        <w:rPr>
          <w:rFonts w:ascii="Times New Roman" w:cs="Times New Roman" w:eastAsia="Times New Roman" w:hAnsi="Times New Roman"/>
          <w:sz w:val="20"/>
          <w:szCs w:val="20"/>
          <w:rtl w:val="0"/>
        </w:rPr>
        <w:t xml:space="preserve"> Genocide was defined as actions that are made with “the intent to destroy, in whole or in part,” a national, racial, religious, or ethnic group. </w:t>
      </w:r>
      <w:r w:rsidDel="00000000" w:rsidR="00000000" w:rsidRPr="00000000">
        <w:rPr>
          <w:rFonts w:ascii="Times New Roman" w:cs="Times New Roman" w:eastAsia="Times New Roman" w:hAnsi="Times New Roman"/>
          <w:sz w:val="20"/>
          <w:szCs w:val="20"/>
          <w:vertAlign w:val="superscript"/>
        </w:rPr>
        <w:footnoteReference w:customMarkFollows="0" w:id="27"/>
      </w:r>
      <w:r w:rsidDel="00000000" w:rsidR="00000000" w:rsidRPr="00000000">
        <w:rPr>
          <w:rFonts w:ascii="Times New Roman" w:cs="Times New Roman" w:eastAsia="Times New Roman" w:hAnsi="Times New Roman"/>
          <w:sz w:val="20"/>
          <w:szCs w:val="20"/>
          <w:rtl w:val="0"/>
        </w:rPr>
        <w:t xml:space="preserve">All Member States are bound to adhere to the Geneva Convention under international law by the International Court of Justice. </w:t>
      </w:r>
      <w:r w:rsidDel="00000000" w:rsidR="00000000" w:rsidRPr="00000000">
        <w:rPr>
          <w:rFonts w:ascii="Times New Roman" w:cs="Times New Roman" w:eastAsia="Times New Roman" w:hAnsi="Times New Roman"/>
          <w:sz w:val="20"/>
          <w:szCs w:val="20"/>
          <w:rtl w:val="0"/>
        </w:rPr>
        <w:t xml:space="preserve">The abolitionist movement gained successful political momentum in the 18th and 19th centuries, seeking to end the transatlantic slave trade and chattel slavery, largely through placing pressure on the government through boycotts or protests, as well as through literature.</w:t>
      </w:r>
      <w:r w:rsidDel="00000000" w:rsidR="00000000" w:rsidRPr="00000000">
        <w:rPr>
          <w:rFonts w:ascii="Times New Roman" w:cs="Times New Roman" w:eastAsia="Times New Roman" w:hAnsi="Times New Roman"/>
          <w:sz w:val="20"/>
          <w:szCs w:val="20"/>
          <w:vertAlign w:val="superscript"/>
        </w:rPr>
        <w:footnoteReference w:customMarkFollows="0" w:id="28"/>
      </w:r>
      <w:r w:rsidDel="00000000" w:rsidR="00000000" w:rsidRPr="00000000">
        <w:rPr>
          <w:rFonts w:ascii="Times New Roman" w:cs="Times New Roman" w:eastAsia="Times New Roman" w:hAnsi="Times New Roman"/>
          <w:sz w:val="20"/>
          <w:szCs w:val="20"/>
          <w:rtl w:val="0"/>
        </w:rPr>
        <w:t xml:space="preserve"> The Nuremberg and Tokyo Trials set early precedents for international prosecution of war crimes and crimes against humanity. The Allied forces established the International Military Tribunal (IMT) in Nuremberg, Germany, in August 1945, while the International Military Tribunal for the Far East (IMTFE) was created in 1949 in accordance with U.S. Army General Douglas MacArthur’s command in Allied-occupied Tokyo, Japan. Both tribunals had the authority to “prosecute and punish the major war criminals of the European Axis” who committed Crimes Against Peace, Crimes Against Humanity, or War Crimes.</w:t>
      </w:r>
      <w:r w:rsidDel="00000000" w:rsidR="00000000" w:rsidRPr="00000000">
        <w:rPr>
          <w:rFonts w:ascii="Times New Roman" w:cs="Times New Roman" w:eastAsia="Times New Roman" w:hAnsi="Times New Roman"/>
          <w:sz w:val="20"/>
          <w:szCs w:val="20"/>
          <w:vertAlign w:val="superscript"/>
        </w:rPr>
        <w:footnoteReference w:customMarkFollows="0" w:id="29"/>
      </w:r>
      <w:r w:rsidDel="00000000" w:rsidR="00000000" w:rsidRPr="00000000">
        <w:rPr>
          <w:rFonts w:ascii="Times New Roman" w:cs="Times New Roman" w:eastAsia="Times New Roman" w:hAnsi="Times New Roman"/>
          <w:sz w:val="20"/>
          <w:szCs w:val="20"/>
          <w:rtl w:val="0"/>
        </w:rPr>
        <w:t xml:space="preserve"> Following these international tribunals, smaller trials were held by domestic courts or military commissions. These landmark tribunals would later become models for the international criminal tribunals to be established in the 1990s.</w:t>
      </w:r>
      <w:r w:rsidDel="00000000" w:rsidR="00000000" w:rsidRPr="00000000">
        <w:rPr>
          <w:rFonts w:ascii="Times New Roman" w:cs="Times New Roman" w:eastAsia="Times New Roman" w:hAnsi="Times New Roman"/>
          <w:sz w:val="20"/>
          <w:szCs w:val="20"/>
          <w:vertAlign w:val="superscript"/>
        </w:rPr>
        <w:footnoteReference w:customMarkFollows="0" w:id="30"/>
      </w:r>
      <w:r w:rsidDel="00000000" w:rsidR="00000000" w:rsidRPr="00000000">
        <w:rPr>
          <w:rFonts w:ascii="Times New Roman" w:cs="Times New Roman" w:eastAsia="Times New Roman" w:hAnsi="Times New Roman"/>
          <w:sz w:val="20"/>
          <w:szCs w:val="20"/>
          <w:rtl w:val="0"/>
        </w:rPr>
        <w:t xml:space="preserve"> They also established the legal precedent that individuals can be held accountable and prosecuted for international crimes, and that their rank or just following orders were not acceptable defenses. Despite these landmark advancements, throughout the Cold War, widespread human rights abuses frequently went unaddressed, as geopolitical tensions limited the willingness or ability of states to confront such violations. Still, this period saw the adoption of the Convention for the Protection of Human Rights and Fundamental Freedoms, signed in Rome, Italy on 4 November 1950 by the Council of Europe. Through the Convention, the European Commission of Human Rights, the European Court of Human Rights, and the Committee of Ministers of the Council of Europe were created with the aim of preventing post-World War II atrocities.</w:t>
      </w:r>
      <w:r w:rsidDel="00000000" w:rsidR="00000000" w:rsidRPr="00000000">
        <w:rPr>
          <w:rFonts w:ascii="Times New Roman" w:cs="Times New Roman" w:eastAsia="Times New Roman" w:hAnsi="Times New Roman"/>
          <w:sz w:val="20"/>
          <w:szCs w:val="20"/>
          <w:vertAlign w:val="superscript"/>
        </w:rPr>
        <w:footnoteReference w:customMarkFollows="0" w:id="31"/>
      </w:r>
      <w:r w:rsidDel="00000000" w:rsidR="00000000" w:rsidRPr="00000000">
        <w:rPr>
          <w:rtl w:val="0"/>
        </w:rPr>
      </w:r>
    </w:p>
    <w:p w:rsidR="00000000" w:rsidDel="00000000" w:rsidP="00000000" w:rsidRDefault="00000000" w:rsidRPr="00000000" w14:paraId="00000021">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Despite these achievements, the 20th and 21st centuries have seen an increase in abuses of human rights. The Yugoslav wars in the 1990s occurred due to a variety of conflicts fueled by political instability, economic collapse, ethnic cleansing, nationalism, forced displacement, and sexual violence.</w:t>
      </w:r>
      <w:r w:rsidDel="00000000" w:rsidR="00000000" w:rsidRPr="00000000">
        <w:rPr>
          <w:rFonts w:ascii="Times New Roman" w:cs="Times New Roman" w:eastAsia="Times New Roman" w:hAnsi="Times New Roman"/>
          <w:sz w:val="20"/>
          <w:szCs w:val="20"/>
          <w:vertAlign w:val="superscript"/>
        </w:rPr>
        <w:footnoteReference w:customMarkFollows="0" w:id="32"/>
      </w:r>
      <w:r w:rsidDel="00000000" w:rsidR="00000000" w:rsidRPr="00000000">
        <w:rPr>
          <w:rFonts w:ascii="Times New Roman" w:cs="Times New Roman" w:eastAsia="Times New Roman" w:hAnsi="Times New Roman"/>
          <w:sz w:val="20"/>
          <w:szCs w:val="20"/>
          <w:rtl w:val="0"/>
        </w:rPr>
        <w:t xml:space="preserve"> First established as an ad hoc court in May of 1993 by the UN Security Council, the International Criminal Tribunal for the Former Yugoslavia (ICTY) was the first court created to prosecute war crimes, reinforcing that one’s position cannot protect them from prosecution, labeling entire communities as “collectively responsible”, and laying the foundations for conflict resolution and post-conflict development.</w:t>
      </w:r>
      <w:r w:rsidDel="00000000" w:rsidR="00000000" w:rsidRPr="00000000">
        <w:rPr>
          <w:rFonts w:ascii="Times New Roman" w:cs="Times New Roman" w:eastAsia="Times New Roman" w:hAnsi="Times New Roman"/>
          <w:sz w:val="20"/>
          <w:szCs w:val="20"/>
          <w:vertAlign w:val="superscript"/>
        </w:rPr>
        <w:footnoteReference w:customMarkFollows="0" w:id="33"/>
      </w:r>
      <w:r w:rsidDel="00000000" w:rsidR="00000000" w:rsidRPr="00000000">
        <w:rPr>
          <w:rFonts w:ascii="Times New Roman" w:cs="Times New Roman" w:eastAsia="Times New Roman" w:hAnsi="Times New Roman"/>
          <w:sz w:val="20"/>
          <w:szCs w:val="20"/>
          <w:rtl w:val="0"/>
        </w:rPr>
        <w:t xml:space="preserve"> As of July 2011, the ICTY has seen 161 individuals indicted.</w:t>
      </w:r>
      <w:r w:rsidDel="00000000" w:rsidR="00000000" w:rsidRPr="00000000">
        <w:rPr>
          <w:rFonts w:ascii="Times New Roman" w:cs="Times New Roman" w:eastAsia="Times New Roman" w:hAnsi="Times New Roman"/>
          <w:sz w:val="20"/>
          <w:szCs w:val="20"/>
          <w:vertAlign w:val="superscript"/>
        </w:rPr>
        <w:footnoteReference w:customMarkFollows="0" w:id="34"/>
      </w:r>
      <w:r w:rsidDel="00000000" w:rsidR="00000000" w:rsidRPr="00000000">
        <w:rPr>
          <w:rFonts w:ascii="Times New Roman" w:cs="Times New Roman" w:eastAsia="Times New Roman" w:hAnsi="Times New Roman"/>
          <w:sz w:val="20"/>
          <w:szCs w:val="20"/>
          <w:rtl w:val="0"/>
        </w:rPr>
        <w:t xml:space="preserve"> Though the UN did little to intervene, other than the establishment of the ICTY, the UN Protection Force (UNPROFOR) facilitated the delivery of humanitarian aid to some UN-declared safe zones.</w:t>
      </w:r>
      <w:r w:rsidDel="00000000" w:rsidR="00000000" w:rsidRPr="00000000">
        <w:rPr>
          <w:rFonts w:ascii="Times New Roman" w:cs="Times New Roman" w:eastAsia="Times New Roman" w:hAnsi="Times New Roman"/>
          <w:sz w:val="20"/>
          <w:szCs w:val="20"/>
          <w:vertAlign w:val="superscript"/>
        </w:rPr>
        <w:footnoteReference w:customMarkFollows="0" w:id="35"/>
      </w:r>
      <w:r w:rsidDel="00000000" w:rsidR="00000000" w:rsidRPr="00000000">
        <w:rPr>
          <w:rFonts w:ascii="Times New Roman" w:cs="Times New Roman" w:eastAsia="Times New Roman" w:hAnsi="Times New Roman"/>
          <w:sz w:val="20"/>
          <w:szCs w:val="20"/>
          <w:rtl w:val="0"/>
        </w:rPr>
        <w:t xml:space="preserve"> The ‘safe zone’ failed at Srebrenica July 1995 and saw the killing of over 8,000 Bosniak men and boys, and over 20,000 civilians were forcibly displaced.</w:t>
      </w:r>
      <w:r w:rsidDel="00000000" w:rsidR="00000000" w:rsidRPr="00000000">
        <w:rPr>
          <w:rFonts w:ascii="Times New Roman" w:cs="Times New Roman" w:eastAsia="Times New Roman" w:hAnsi="Times New Roman"/>
          <w:sz w:val="20"/>
          <w:szCs w:val="20"/>
          <w:vertAlign w:val="superscript"/>
        </w:rPr>
        <w:footnoteReference w:customMarkFollows="0" w:id="36"/>
      </w:r>
      <w:r w:rsidDel="00000000" w:rsidR="00000000" w:rsidRPr="00000000">
        <w:rPr>
          <w:rFonts w:ascii="Times New Roman" w:cs="Times New Roman" w:eastAsia="Times New Roman" w:hAnsi="Times New Roman"/>
          <w:sz w:val="20"/>
          <w:szCs w:val="20"/>
          <w:rtl w:val="0"/>
        </w:rPr>
        <w:t xml:space="preserve"> This atrocity was later labeled in 2004 as a genocide by the ICTY and the International Court of Justice (ICJ), and did finally provoke the West to push for a cease-fire. This resulted in the Dayton Accords, an agreement made on 21 November 1995 by the presidents of Bosnia, Croatia, and Serbia, ending the war in Bosnia and creating a General Framework Agreement for Peace in Bosnia and Herzegovina.</w:t>
      </w:r>
      <w:r w:rsidDel="00000000" w:rsidR="00000000" w:rsidRPr="00000000">
        <w:rPr>
          <w:rFonts w:ascii="Times New Roman" w:cs="Times New Roman" w:eastAsia="Times New Roman" w:hAnsi="Times New Roman"/>
          <w:sz w:val="20"/>
          <w:szCs w:val="20"/>
          <w:vertAlign w:val="superscript"/>
        </w:rPr>
        <w:footnoteReference w:customMarkFollows="0" w:id="37"/>
      </w:r>
      <w:r w:rsidDel="00000000" w:rsidR="00000000" w:rsidRPr="00000000">
        <w:rPr>
          <w:rFonts w:ascii="Times New Roman" w:cs="Times New Roman" w:eastAsia="Times New Roman" w:hAnsi="Times New Roman"/>
          <w:sz w:val="20"/>
          <w:szCs w:val="20"/>
          <w:rtl w:val="0"/>
        </w:rPr>
        <w:t xml:space="preserve"> The failure in Srebrenica directly informs today’s peacekeeping and human rights norms, highlighting the need for robust mandates, clear rules of engagement, and civilian protection. The coinciding Rwandan genocide in 1994 occurred due to ethnic conflicts largely between the Hutus and Tutsis and saw between 800,000 and 1,000,000 people killed within 100 days.</w:t>
      </w:r>
      <w:r w:rsidDel="00000000" w:rsidR="00000000" w:rsidRPr="00000000">
        <w:rPr>
          <w:rFonts w:ascii="Times New Roman" w:cs="Times New Roman" w:eastAsia="Times New Roman" w:hAnsi="Times New Roman"/>
          <w:sz w:val="20"/>
          <w:szCs w:val="20"/>
          <w:vertAlign w:val="superscript"/>
        </w:rPr>
        <w:footnoteReference w:customMarkFollows="0" w:id="38"/>
      </w:r>
      <w:r w:rsidDel="00000000" w:rsidR="00000000" w:rsidRPr="00000000">
        <w:rPr>
          <w:rFonts w:ascii="Times New Roman" w:cs="Times New Roman" w:eastAsia="Times New Roman" w:hAnsi="Times New Roman"/>
          <w:sz w:val="20"/>
          <w:szCs w:val="20"/>
          <w:rtl w:val="0"/>
        </w:rPr>
        <w:t xml:space="preserve"> Tensions flared between the two ethnic groups in October of 1990 when the Rwandan Patriotic Front (RPF) attacked from Rwanda, displacing thousands, and the 1993 UN Security Council resolution S/RES/812 (1993) called on the RPF and Rwandan government to respect the ceasefire and resume negotiations. However, mirroring the failure in Srebrenica, the UN Assistance Mission for Rwanda’s (UNAMIR) peacekeepers were under-equipped, reinforcements denied, and were only allowed to observe. Mirroring the ICTY, the UN Secrity Council resolution S/RES/955 (1994) created the UN International Criminal Tribunal for Rwanda (ICTR) with the mandate to prosecute those responsible for genocide, crimes against humanity, and war crimes in the 1994 Rwandan Genocide.</w:t>
      </w:r>
      <w:r w:rsidDel="00000000" w:rsidR="00000000" w:rsidRPr="00000000">
        <w:rPr>
          <w:rFonts w:ascii="Times New Roman" w:cs="Times New Roman" w:eastAsia="Times New Roman" w:hAnsi="Times New Roman"/>
          <w:sz w:val="20"/>
          <w:szCs w:val="20"/>
          <w:vertAlign w:val="superscript"/>
        </w:rPr>
        <w:footnoteReference w:customMarkFollows="0" w:id="39"/>
      </w:r>
      <w:r w:rsidDel="00000000" w:rsidR="00000000" w:rsidRPr="00000000">
        <w:rPr>
          <w:rtl w:val="0"/>
        </w:rPr>
      </w:r>
    </w:p>
    <w:p w:rsidR="00000000" w:rsidDel="00000000" w:rsidP="00000000" w:rsidRDefault="00000000" w:rsidRPr="00000000" w14:paraId="00000022">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24">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Human Rights Watch’s 2025 annual World Report review of human rights calls 2024 a ‘year of reckoning’.</w:t>
      </w:r>
      <w:r w:rsidDel="00000000" w:rsidR="00000000" w:rsidRPr="00000000">
        <w:rPr>
          <w:rFonts w:ascii="Times New Roman" w:cs="Times New Roman" w:eastAsia="Times New Roman" w:hAnsi="Times New Roman"/>
          <w:sz w:val="20"/>
          <w:szCs w:val="20"/>
          <w:vertAlign w:val="superscript"/>
        </w:rPr>
        <w:footnoteReference w:customMarkFollows="0" w:id="40"/>
      </w:r>
      <w:r w:rsidDel="00000000" w:rsidR="00000000" w:rsidRPr="00000000">
        <w:rPr>
          <w:rFonts w:ascii="Times New Roman" w:cs="Times New Roman" w:eastAsia="Times New Roman" w:hAnsi="Times New Roman"/>
          <w:sz w:val="20"/>
          <w:szCs w:val="20"/>
          <w:rtl w:val="0"/>
        </w:rPr>
        <w:t xml:space="preserve"> The report highlights a rise in democratic backsliding with authoritarian leaders utilizing repression, misinformation, and fear for their own powerful gain, paired with a rise in protests and civic mobilization in India, Bangladesh, Georgia, El Salvador, Venezuela, South Korea, and the United States.</w:t>
      </w:r>
      <w:r w:rsidDel="00000000" w:rsidR="00000000" w:rsidRPr="00000000">
        <w:rPr>
          <w:rFonts w:ascii="Times New Roman" w:cs="Times New Roman" w:eastAsia="Times New Roman" w:hAnsi="Times New Roman"/>
          <w:sz w:val="20"/>
          <w:szCs w:val="20"/>
          <w:vertAlign w:val="superscript"/>
        </w:rPr>
        <w:footnoteReference w:customMarkFollows="0" w:id="41"/>
      </w:r>
      <w:r w:rsidDel="00000000" w:rsidR="00000000" w:rsidRPr="00000000">
        <w:rPr>
          <w:rFonts w:ascii="Times New Roman" w:cs="Times New Roman" w:eastAsia="Times New Roman" w:hAnsi="Times New Roman"/>
          <w:sz w:val="20"/>
          <w:szCs w:val="20"/>
          <w:rtl w:val="0"/>
        </w:rPr>
        <w:t xml:space="preserve"> Along with over 70 national elections taking place in 2024, many accompanied by hate speech or discriminatory policies, voters are rejecting such hate-driven platforms, showing glimmers of democratic resilience. This clearly evidences the importance of civic mobilization and resistance, and is a reminder that human rights defense is not only through legal avenues, but that equally important change occurs through social and political change. The report emphasizes multiple severe humanitarian crises and wartime abuses occurring in Gaza, Sudan, Ukraine, and Haiti, with mass civilian casualties, forced displacement, sexual violence, denial of humanitarian aid, targeted attacks on civilian infrastructure, and the destruction of basic services. Global inaction, lack of accountability, and complicity of other powers through arms sales or political support have accelerated the suffering and emboldened perpetrators to commit greater abuses. These human rights violations are not limited to conflict zones, but include repression of dissenters, arbitrary arrest, and expanded restrictions on civil liberties. When governments refuse to comply with international laws and treaties on human rights they not only abandon and sacrifice their own citizens, but also undermine the norms that protect the human rights of global citizens.</w:t>
      </w:r>
      <w:r w:rsidDel="00000000" w:rsidR="00000000" w:rsidRPr="00000000">
        <w:rPr>
          <w:rFonts w:ascii="Times New Roman" w:cs="Times New Roman" w:eastAsia="Times New Roman" w:hAnsi="Times New Roman"/>
          <w:sz w:val="20"/>
          <w:szCs w:val="20"/>
          <w:vertAlign w:val="superscript"/>
        </w:rPr>
        <w:footnoteReference w:customMarkFollows="0" w:id="42"/>
      </w:r>
      <w:r w:rsidDel="00000000" w:rsidR="00000000" w:rsidRPr="00000000">
        <w:rPr>
          <w:rFonts w:ascii="Times New Roman" w:cs="Times New Roman" w:eastAsia="Times New Roman" w:hAnsi="Times New Roman"/>
          <w:sz w:val="20"/>
          <w:szCs w:val="20"/>
          <w:rtl w:val="0"/>
        </w:rPr>
        <w:t xml:space="preserve"> The report finds that in 2024 governments have globally failed to uphold human rights and humanitarian law obligations, even within ‘liberal democracies’ that claim to champion human rights, and calls for consistent support of the International Criminal Court (ICC) by members.</w:t>
      </w:r>
      <w:r w:rsidDel="00000000" w:rsidR="00000000" w:rsidRPr="00000000">
        <w:rPr>
          <w:rFonts w:ascii="Times New Roman" w:cs="Times New Roman" w:eastAsia="Times New Roman" w:hAnsi="Times New Roman"/>
          <w:sz w:val="20"/>
          <w:szCs w:val="20"/>
          <w:vertAlign w:val="superscript"/>
        </w:rPr>
        <w:footnoteReference w:customMarkFollows="0" w:id="43"/>
      </w:r>
      <w:r w:rsidDel="00000000" w:rsidR="00000000" w:rsidRPr="00000000">
        <w:rPr>
          <w:rtl w:val="0"/>
        </w:rPr>
      </w:r>
    </w:p>
    <w:p w:rsidR="00000000" w:rsidDel="00000000" w:rsidP="00000000" w:rsidRDefault="00000000" w:rsidRPr="00000000" w14:paraId="00000026">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nature of human rights violations has greatly changed since the inception of the UN, and has shifted from conflicts largely between states to conflict and violence between groups, as well as the rise of cyberattacks.</w:t>
      </w:r>
      <w:r w:rsidDel="00000000" w:rsidR="00000000" w:rsidRPr="00000000">
        <w:rPr>
          <w:rFonts w:ascii="Times New Roman" w:cs="Times New Roman" w:eastAsia="Times New Roman" w:hAnsi="Times New Roman"/>
          <w:sz w:val="20"/>
          <w:szCs w:val="20"/>
          <w:vertAlign w:val="superscript"/>
        </w:rPr>
        <w:footnoteReference w:customMarkFollows="0" w:id="44"/>
      </w:r>
      <w:r w:rsidDel="00000000" w:rsidR="00000000" w:rsidRPr="00000000">
        <w:rPr>
          <w:rFonts w:ascii="Times New Roman" w:cs="Times New Roman" w:eastAsia="Times New Roman" w:hAnsi="Times New Roman"/>
          <w:sz w:val="20"/>
          <w:szCs w:val="20"/>
          <w:rtl w:val="0"/>
        </w:rPr>
        <w:t xml:space="preserve"> Today, human rights abuses remain widespread, occurring in contexts ranging from international conflicts to authoritarian crackdowns and state-sponsored violence. Institutions and global human rights frameworks are failing to effectively address multiple ongoing crises of war, repression, climate change, and more.</w:t>
      </w:r>
      <w:r w:rsidDel="00000000" w:rsidR="00000000" w:rsidRPr="00000000">
        <w:rPr>
          <w:rFonts w:ascii="Times New Roman" w:cs="Times New Roman" w:eastAsia="Times New Roman" w:hAnsi="Times New Roman"/>
          <w:sz w:val="20"/>
          <w:szCs w:val="20"/>
          <w:vertAlign w:val="superscript"/>
        </w:rPr>
        <w:footnoteReference w:customMarkFollows="0" w:id="45"/>
      </w:r>
      <w:r w:rsidDel="00000000" w:rsidR="00000000" w:rsidRPr="00000000">
        <w:rPr>
          <w:rFonts w:ascii="Times New Roman" w:cs="Times New Roman" w:eastAsia="Times New Roman" w:hAnsi="Times New Roman"/>
          <w:sz w:val="20"/>
          <w:szCs w:val="20"/>
          <w:rtl w:val="0"/>
        </w:rPr>
        <w:t xml:space="preserve"> These crises have greatly altered the international system since the UN’s inception from the ashes of World War II, leaving peacebuilding, conflict management, and human rights norms frameworks under strain.</w:t>
      </w:r>
      <w:r w:rsidDel="00000000" w:rsidR="00000000" w:rsidRPr="00000000">
        <w:rPr>
          <w:rFonts w:ascii="Times New Roman" w:cs="Times New Roman" w:eastAsia="Times New Roman" w:hAnsi="Times New Roman"/>
          <w:sz w:val="20"/>
          <w:szCs w:val="20"/>
          <w:vertAlign w:val="superscript"/>
        </w:rPr>
        <w:footnoteReference w:customMarkFollows="0" w:id="46"/>
      </w:r>
      <w:r w:rsidDel="00000000" w:rsidR="00000000" w:rsidRPr="00000000">
        <w:rPr>
          <w:rFonts w:ascii="Times New Roman" w:cs="Times New Roman" w:eastAsia="Times New Roman" w:hAnsi="Times New Roman"/>
          <w:sz w:val="20"/>
          <w:szCs w:val="20"/>
          <w:rtl w:val="0"/>
        </w:rPr>
        <w:t xml:space="preserve"> Many Member States lack independent juries, functional investigative bodies, or the political power to hold perpetrators accountable. This fuels impunity and contributes to ongoing cycles of abuse. In some regions, political polarization and weakening rule of law further reduces public trust in domestic justice systems, making credible accountability even more difficult.</w:t>
      </w:r>
      <w:r w:rsidDel="00000000" w:rsidR="00000000" w:rsidRPr="00000000">
        <w:rPr>
          <w:rFonts w:ascii="Times New Roman" w:cs="Times New Roman" w:eastAsia="Times New Roman" w:hAnsi="Times New Roman"/>
          <w:sz w:val="20"/>
          <w:szCs w:val="20"/>
          <w:vertAlign w:val="superscript"/>
        </w:rPr>
        <w:footnoteReference w:customMarkFollows="0" w:id="47"/>
      </w:r>
      <w:r w:rsidDel="00000000" w:rsidR="00000000" w:rsidRPr="00000000">
        <w:rPr>
          <w:rFonts w:ascii="Times New Roman" w:cs="Times New Roman" w:eastAsia="Times New Roman" w:hAnsi="Times New Roman"/>
          <w:sz w:val="20"/>
          <w:szCs w:val="20"/>
          <w:rtl w:val="0"/>
        </w:rPr>
        <w:t xml:space="preserve"> Countering this, there is also growing international recognition that justice mechanisms must be tailored to each country’s social, cultural, and political environment. Mechanisms such as hybrid courts, transitional justice, specialized investigative bodies, and victim-centered truth commissions are increasingly used to address complex violations.</w:t>
      </w:r>
      <w:r w:rsidDel="00000000" w:rsidR="00000000" w:rsidRPr="00000000">
        <w:rPr>
          <w:rFonts w:ascii="Times New Roman" w:cs="Times New Roman" w:eastAsia="Times New Roman" w:hAnsi="Times New Roman"/>
          <w:sz w:val="20"/>
          <w:szCs w:val="20"/>
          <w:vertAlign w:val="superscript"/>
        </w:rPr>
        <w:footnoteReference w:customMarkFollows="0" w:id="48"/>
      </w:r>
      <w:r w:rsidDel="00000000" w:rsidR="00000000" w:rsidRPr="00000000">
        <w:rPr>
          <w:rFonts w:ascii="Times New Roman" w:cs="Times New Roman" w:eastAsia="Times New Roman" w:hAnsi="Times New Roman"/>
          <w:sz w:val="20"/>
          <w:szCs w:val="20"/>
          <w:rtl w:val="0"/>
        </w:rPr>
        <w:t xml:space="preserve"> Civil society organizations and human rights defenders play a crucial role in documenting abuses and advocating for credible accountability processes, though they often face threats and restrictions. Overall, the global landscape reflects both progress and persistent challenges in designing effective justice mechanisms.</w:t>
      </w:r>
    </w:p>
    <w:p w:rsidR="00000000" w:rsidDel="00000000" w:rsidP="00000000" w:rsidRDefault="00000000" w:rsidRPr="00000000" w14:paraId="0000002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United Nations</w:t>
      </w:r>
    </w:p>
    <w:p w:rsidR="00000000" w:rsidDel="00000000" w:rsidP="00000000" w:rsidRDefault="00000000" w:rsidRPr="00000000" w14:paraId="00000029">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Efforts to address human rights abuses through justice mechanisms date back to the UN's inception in the post-World War II era. Great advancements and achievements have been made since the UDHR was drafted as “a common standard of achievement for all peoples and nations”.</w:t>
      </w:r>
      <w:r w:rsidDel="00000000" w:rsidR="00000000" w:rsidRPr="00000000">
        <w:rPr>
          <w:rFonts w:ascii="Times New Roman" w:cs="Times New Roman" w:eastAsia="Times New Roman" w:hAnsi="Times New Roman"/>
          <w:sz w:val="20"/>
          <w:szCs w:val="20"/>
          <w:vertAlign w:val="superscript"/>
        </w:rPr>
        <w:footnoteReference w:customMarkFollows="0" w:id="49"/>
      </w:r>
      <w:r w:rsidDel="00000000" w:rsidR="00000000" w:rsidRPr="00000000">
        <w:rPr>
          <w:rFonts w:ascii="Times New Roman" w:cs="Times New Roman" w:eastAsia="Times New Roman" w:hAnsi="Times New Roman"/>
          <w:sz w:val="20"/>
          <w:szCs w:val="20"/>
          <w:rtl w:val="0"/>
        </w:rPr>
        <w:t xml:space="preserve"> Since the 1990s, the international community has renewed its commitment to accountability by creating ad hoc tribunals and truth commissions, with the UN playing a central role in shaping global standards for credible justice processes. The late 20th and early 21st centuries saw the rise of transitional justice and hybrid criminal tribunals which combine domestic legal systems with international legal systems to better seek accountability, reparations, and institutional reform for committed atrocities.</w:t>
      </w:r>
      <w:r w:rsidDel="00000000" w:rsidR="00000000" w:rsidRPr="00000000">
        <w:rPr>
          <w:rFonts w:ascii="Times New Roman" w:cs="Times New Roman" w:eastAsia="Times New Roman" w:hAnsi="Times New Roman"/>
          <w:sz w:val="20"/>
          <w:szCs w:val="20"/>
          <w:vertAlign w:val="superscript"/>
        </w:rPr>
        <w:footnoteReference w:customMarkFollows="0" w:id="50"/>
      </w:r>
      <w:r w:rsidDel="00000000" w:rsidR="00000000" w:rsidRPr="00000000">
        <w:rPr>
          <w:rFonts w:ascii="Times New Roman" w:cs="Times New Roman" w:eastAsia="Times New Roman" w:hAnsi="Times New Roman"/>
          <w:sz w:val="20"/>
          <w:szCs w:val="20"/>
          <w:rtl w:val="0"/>
        </w:rPr>
        <w:t xml:space="preserve"> The Security Council’s establishment of the ad hoc tribunals ICTY and ICTR laid the groundwork for the later 2002 establishment of the ICC.</w:t>
      </w:r>
      <w:r w:rsidDel="00000000" w:rsidR="00000000" w:rsidRPr="00000000">
        <w:rPr>
          <w:rFonts w:ascii="Times New Roman" w:cs="Times New Roman" w:eastAsia="Times New Roman" w:hAnsi="Times New Roman"/>
          <w:sz w:val="20"/>
          <w:szCs w:val="20"/>
          <w:vertAlign w:val="superscript"/>
        </w:rPr>
        <w:footnoteReference w:customMarkFollows="0" w:id="51"/>
      </w:r>
      <w:r w:rsidDel="00000000" w:rsidR="00000000" w:rsidRPr="00000000">
        <w:rPr>
          <w:rFonts w:ascii="Times New Roman" w:cs="Times New Roman" w:eastAsia="Times New Roman" w:hAnsi="Times New Roman"/>
          <w:sz w:val="20"/>
          <w:szCs w:val="20"/>
          <w:rtl w:val="0"/>
        </w:rPr>
        <w:t xml:space="preserve"> Member States such as South Africa, Argentina, Lebanon, and Sierra Leone have pioneered truth commissions, hybrid courts, community-based justice initiatives, and special tribunals assisted by the UN .</w:t>
      </w:r>
      <w:r w:rsidDel="00000000" w:rsidR="00000000" w:rsidRPr="00000000">
        <w:rPr>
          <w:rFonts w:ascii="Times New Roman" w:cs="Times New Roman" w:eastAsia="Times New Roman" w:hAnsi="Times New Roman"/>
          <w:sz w:val="20"/>
          <w:szCs w:val="20"/>
          <w:vertAlign w:val="superscript"/>
        </w:rPr>
        <w:footnoteReference w:customMarkFollows="0" w:id="52"/>
      </w:r>
      <w:r w:rsidDel="00000000" w:rsidR="00000000" w:rsidRPr="00000000">
        <w:rPr>
          <w:rFonts w:ascii="Times New Roman" w:cs="Times New Roman" w:eastAsia="Times New Roman" w:hAnsi="Times New Roman"/>
          <w:sz w:val="20"/>
          <w:szCs w:val="20"/>
          <w:rtl w:val="0"/>
        </w:rPr>
        <w:t xml:space="preserve"> In Sierra Leone, first, the non-judicial Truth and Reconciliation Commission was established to restore peace and document abuses until the Sierra Leone Government and UN could agree to establish the hybrid criminal tribunal Special Court for Sierra Leone to prosecute those “bearing the greatest responsibility” for war crimes, crimes against humanity, and serious violations of international humanitarian law.</w:t>
      </w:r>
      <w:r w:rsidDel="00000000" w:rsidR="00000000" w:rsidRPr="00000000">
        <w:rPr>
          <w:rFonts w:ascii="Times New Roman" w:cs="Times New Roman" w:eastAsia="Times New Roman" w:hAnsi="Times New Roman"/>
          <w:sz w:val="20"/>
          <w:szCs w:val="20"/>
          <w:vertAlign w:val="superscript"/>
        </w:rPr>
        <w:footnoteReference w:customMarkFollows="0" w:id="53"/>
      </w:r>
      <w:r w:rsidDel="00000000" w:rsidR="00000000" w:rsidRPr="00000000">
        <w:rPr>
          <w:rFonts w:ascii="Times New Roman" w:cs="Times New Roman" w:eastAsia="Times New Roman" w:hAnsi="Times New Roman"/>
          <w:sz w:val="20"/>
          <w:szCs w:val="20"/>
          <w:rtl w:val="0"/>
        </w:rPr>
        <w:t xml:space="preserve"> Likewise, the Special Tribunal for Lebanon was created as a hybrid tribunal to prosecute individuals responsible for the 14 February 2005 bombing, which killed former Prime Minister Rafik Hariri, and related attacks.</w:t>
      </w:r>
      <w:r w:rsidDel="00000000" w:rsidR="00000000" w:rsidRPr="00000000">
        <w:rPr>
          <w:rFonts w:ascii="Times New Roman" w:cs="Times New Roman" w:eastAsia="Times New Roman" w:hAnsi="Times New Roman"/>
          <w:sz w:val="20"/>
          <w:szCs w:val="20"/>
          <w:vertAlign w:val="superscript"/>
        </w:rPr>
        <w:footnoteReference w:customMarkFollows="0" w:id="54"/>
      </w:r>
      <w:r w:rsidDel="00000000" w:rsidR="00000000" w:rsidRPr="00000000">
        <w:rPr>
          <w:rFonts w:ascii="Times New Roman" w:cs="Times New Roman" w:eastAsia="Times New Roman" w:hAnsi="Times New Roman"/>
          <w:sz w:val="20"/>
          <w:szCs w:val="20"/>
          <w:rtl w:val="0"/>
        </w:rPr>
        <w:t xml:space="preserve"> There is a lot to be learned from these models. Sierra Leone lacked the legal infrastructure to prosecute mass atrocities, and Lebanon faced deep political divisions and lacked judicial independence; for both, independent domestic trials were not feasible to appropriately prosecute the atrocities. While an international tribunal such as the ICTY or ICTR was not necessary, hybrid tribunals are an effective middle-ground to provide accountability and legitimacy. These models demonstrated that achieving justice after widespread abuses requires more than trials alone; it requires mechanisms that recognize victims, restore trust, and rebuild the institutions responsible for protecting human rights.</w:t>
      </w:r>
    </w:p>
    <w:p w:rsidR="00000000" w:rsidDel="00000000" w:rsidP="00000000" w:rsidRDefault="00000000" w:rsidRPr="00000000" w14:paraId="0000002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Transitional justice processes and mechanisms are informed by the understanding that there is no one-size-fits-all formula to ensure accountability, justice, and achieve reconciliation in post-conflict societies.</w:t>
      </w:r>
      <w:r w:rsidDel="00000000" w:rsidR="00000000" w:rsidRPr="00000000">
        <w:rPr>
          <w:rFonts w:ascii="Times New Roman" w:cs="Times New Roman" w:eastAsia="Times New Roman" w:hAnsi="Times New Roman"/>
          <w:sz w:val="20"/>
          <w:szCs w:val="20"/>
          <w:vertAlign w:val="superscript"/>
        </w:rPr>
        <w:footnoteReference w:customMarkFollows="0" w:id="55"/>
      </w:r>
      <w:r w:rsidDel="00000000" w:rsidR="00000000" w:rsidRPr="00000000">
        <w:rPr>
          <w:rFonts w:ascii="Times New Roman" w:cs="Times New Roman" w:eastAsia="Times New Roman" w:hAnsi="Times New Roman"/>
          <w:sz w:val="20"/>
          <w:szCs w:val="20"/>
          <w:rtl w:val="0"/>
        </w:rPr>
        <w:t xml:space="preserve"> The Office of the United Nations High Commissioner for Refugees (UNHCR) engages in transitional justice processes globally, such as through the development of policy guidelines and strategic frameworks, aiding in the design and implementation of transitional justice mechanisms at national and regional levels, or engaging with key UN bodies such as the Human Rights Council (HRC) or the UN Security Council on transitional justice and accountability issues. UNHCR’s work seeks to address the underlying causes and structural factors that enable human rights violations, promote prevention, sustain peace, support development, and foster reconciliation through ensuring inclusive, context-specific, and victim-centered transitional justice processes.</w:t>
      </w:r>
      <w:r w:rsidDel="00000000" w:rsidR="00000000" w:rsidRPr="00000000">
        <w:rPr>
          <w:rFonts w:ascii="Times New Roman" w:cs="Times New Roman" w:eastAsia="Times New Roman" w:hAnsi="Times New Roman"/>
          <w:sz w:val="20"/>
          <w:szCs w:val="20"/>
          <w:vertAlign w:val="superscript"/>
        </w:rPr>
        <w:footnoteReference w:customMarkFollows="0" w:id="56"/>
      </w:r>
      <w:r w:rsidDel="00000000" w:rsidR="00000000" w:rsidRPr="00000000">
        <w:rPr>
          <w:rFonts w:ascii="Times New Roman" w:cs="Times New Roman" w:eastAsia="Times New Roman" w:hAnsi="Times New Roman"/>
          <w:sz w:val="20"/>
          <w:szCs w:val="20"/>
          <w:rtl w:val="0"/>
        </w:rPr>
        <w:t xml:space="preserve"> Currently, there is ongoing work in multiple Member States, including Afghanistan, Colombia, the Democratic Republic of the Congo, El Salvador, Lebanon, Liberia, Nepal, Sudan, Tunisia, and the Western Balkans. In addition to tribunals, the UN supports truth commissions, fact-finding missions, and investigative mechanisms. The HRC frequently mandates independent investigations into alleged atrocities, which gather evidence, identify perpetrators, and provide recommendations for justice. UN agencies also assist states in reforming their legal systems, training judges and investigators, and strengthening national human rights institutions.</w:t>
      </w:r>
      <w:r w:rsidDel="00000000" w:rsidR="00000000" w:rsidRPr="00000000">
        <w:rPr>
          <w:rFonts w:ascii="Times New Roman" w:cs="Times New Roman" w:eastAsia="Times New Roman" w:hAnsi="Times New Roman"/>
          <w:sz w:val="20"/>
          <w:szCs w:val="20"/>
          <w:vertAlign w:val="superscript"/>
        </w:rPr>
        <w:footnoteReference w:customMarkFollows="0" w:id="57"/>
      </w:r>
      <w:r w:rsidDel="00000000" w:rsidR="00000000" w:rsidRPr="00000000">
        <w:rPr>
          <w:rFonts w:ascii="Times New Roman" w:cs="Times New Roman" w:eastAsia="Times New Roman" w:hAnsi="Times New Roman"/>
          <w:sz w:val="20"/>
          <w:szCs w:val="20"/>
          <w:rtl w:val="0"/>
        </w:rPr>
        <w:t xml:space="preserve"> Through these actions, the UN seeks to promote credible, transparent, and victim-centered approaches to addressing human rights abuses.</w:t>
      </w:r>
    </w:p>
    <w:p w:rsidR="00000000" w:rsidDel="00000000" w:rsidP="00000000" w:rsidRDefault="00000000" w:rsidRPr="00000000" w14:paraId="0000002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2E">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F">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Credible justice mechanisms are essential not only for holding perpetrators accountable, but also for addressing victims’ needs, restoring public trust, and preventing future human rights violations. While obstacles such as political resistance, limited resources, weak institutions, and competing national priorities remain significant, there are also proven strategies that both Member States and the international community can utilize. Combining criminal accountability with transitional justice mechanisms such as truth-seeking, reparations, and institutional reform allows for a more complete and effective approach to justice. Examples from the Nuremberg and Tokyo Trials, the ICTY and ICTR, and hybrid courts in Sierra Leone and Lebanon illustrate that justice mechanisms cannot be ‘one-size-fits-all’. Effective mechanisms must be carefully tailored to each society’s historical, cultural, and political context, balancing legal rigor with local ownership, inclusivity, and victim-centered approaches. </w:t>
      </w:r>
    </w:p>
    <w:p w:rsidR="00000000" w:rsidDel="00000000" w:rsidP="00000000" w:rsidRDefault="00000000" w:rsidRPr="00000000" w14:paraId="00000030">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Hybrid and transitional justice processes show that accountability extends beyond prosecution alone; it includes measures that restore social cohesion and trust, strengthen the rule of law, and foster long-term peace and reconciliation. Today’s global landscape is constantly evolving and is marked by new and complex challenges: the rise of authoritarian regimes, increasing political polarization, armed conflicts, mass displacement, cyberattacks, and state-sponsored repression. These developments underscore the need for justice mechanisms that are adaptive, credible, and victim-centered. The United Nations’ role in shaping policy frameworks, supporting hybrid tribunals, and assisting states in reforming legal systems highlights how essential international cooperation is for ensuring accountability. Ultimately, credible justice mechanisms are far more than just legal instruments. They are the tools for preventing future abuses, rebuilding trust between citizens and institutions, empowering communities, and laying the groundwork for societies rooted in human rights, justice, and sustainable peace. By learning from past experiences and adapting to current challenges, Member States and the international community can ensure that justice mechanisms serve not only as instruments of accountability, but also as catalysts for transformation, resilience, and lasting stability. As the United Nations continues its work, Member States must collaborate to strengthen justice systems, promote the rule of law, and uphold the universal promise of human rights for all.</w:t>
      </w:r>
    </w:p>
    <w:p w:rsidR="00000000" w:rsidDel="00000000" w:rsidP="00000000" w:rsidRDefault="00000000" w:rsidRPr="00000000" w14:paraId="00000031">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33">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ab/>
      </w:r>
      <w:r w:rsidDel="00000000" w:rsidR="00000000" w:rsidRPr="00000000">
        <w:rPr>
          <w:rFonts w:ascii="Times New Roman" w:cs="Times New Roman" w:eastAsia="Times New Roman" w:hAnsi="Times New Roman"/>
          <w:sz w:val="20"/>
          <w:szCs w:val="20"/>
          <w:rtl w:val="0"/>
        </w:rPr>
        <w:t xml:space="preserve">During this committee, delegates should work together to highlight existing peacebuilding programs, explore innovative approaches and sources of support, and ensure that all proposed solutions respect the sovereignty of Member States. Delegates should engage in constructive discussion, debate, and collaboration. Solutions developed should focus on building credible justice mechanisms that promote sustainable peace, reduce human suffering and support human rights, and strengthen international stability and the rule of law. Delegates should carefully examine past peacebuilding efforts, identify where initiatives were insufficient or ineffective, and aim to design strategies and programs that address shortcomings. All proposals should align with the Peacebuilding Commission’s mandate and reflect a clear understanding of the roles, responsibilities, and powers of the committee. </w:t>
      </w:r>
    </w:p>
    <w:p w:rsidR="00000000" w:rsidDel="00000000" w:rsidP="00000000" w:rsidRDefault="00000000" w:rsidRPr="00000000" w14:paraId="00000035">
      <w:pPr>
        <w:spacing w:line="240" w:lineRule="auto"/>
        <w:ind w:left="0" w:firstLine="0"/>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6">
      <w:pPr>
        <w:numPr>
          <w:ilvl w:val="0"/>
          <w:numId w:val="2"/>
        </w:numPr>
        <w:spacing w:line="240" w:lineRule="auto"/>
        <w:ind w:left="720"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Addressing Reintegration of Child Soldiers in Post-Conflict Zones through DDR (Disarmament, Demobilization, and Reintegration) Initiatives</w:t>
      </w:r>
    </w:p>
    <w:p w:rsidR="00000000" w:rsidDel="00000000" w:rsidP="00000000" w:rsidRDefault="00000000" w:rsidRPr="00000000" w14:paraId="00000037">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3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Child soldiers being utilized in conflict-prone regions has become an unfortunate reality around the globe. According to the United Nations Children’s Fund (UNICEF) child soldiers are any children being exploited for the purposes of being fighters, cooks, scouts, porters, guards, messengers or any action which benefits the party involved in a conflict.</w:t>
      </w:r>
      <w:r w:rsidDel="00000000" w:rsidR="00000000" w:rsidRPr="00000000">
        <w:rPr>
          <w:rFonts w:ascii="Times New Roman" w:cs="Times New Roman" w:eastAsia="Times New Roman" w:hAnsi="Times New Roman"/>
          <w:sz w:val="20"/>
          <w:szCs w:val="20"/>
          <w:vertAlign w:val="superscript"/>
        </w:rPr>
        <w:footnoteReference w:customMarkFollows="0" w:id="58"/>
      </w:r>
      <w:r w:rsidDel="00000000" w:rsidR="00000000" w:rsidRPr="00000000">
        <w:rPr>
          <w:rFonts w:ascii="Times New Roman" w:cs="Times New Roman" w:eastAsia="Times New Roman" w:hAnsi="Times New Roman"/>
          <w:sz w:val="20"/>
          <w:szCs w:val="20"/>
          <w:rtl w:val="0"/>
        </w:rPr>
        <w:t xml:space="preserve"> However, even after these children manage to leave the violence, they often also have difficulty reentering society. This is especially true in areas that have difficulty providing sufficient infrastructure to help them on their own post-conflict. Cunningham in the Journal of International Humanitarian Action defines these zones as places in a period between past conflict and future peace where actors take on new roles and new organizations begin to reenter the area.</w:t>
      </w:r>
      <w:r w:rsidDel="00000000" w:rsidR="00000000" w:rsidRPr="00000000">
        <w:rPr>
          <w:rFonts w:ascii="Times New Roman" w:cs="Times New Roman" w:eastAsia="Times New Roman" w:hAnsi="Times New Roman"/>
          <w:sz w:val="20"/>
          <w:szCs w:val="20"/>
          <w:vertAlign w:val="superscript"/>
        </w:rPr>
        <w:footnoteReference w:customMarkFollows="0" w:id="59"/>
      </w:r>
      <w:r w:rsidDel="00000000" w:rsidR="00000000" w:rsidRPr="00000000">
        <w:rPr>
          <w:rFonts w:ascii="Times New Roman" w:cs="Times New Roman" w:eastAsia="Times New Roman" w:hAnsi="Times New Roman"/>
          <w:sz w:val="20"/>
          <w:szCs w:val="20"/>
          <w:rtl w:val="0"/>
        </w:rPr>
        <w:t xml:space="preserve"> The use of these children in military operations puts them at adverse risk, removes them from opportunities for education, and invites possibility of the creation of a cycle of violence.</w:t>
      </w:r>
    </w:p>
    <w:p w:rsidR="00000000" w:rsidDel="00000000" w:rsidP="00000000" w:rsidRDefault="00000000" w:rsidRPr="00000000" w14:paraId="0000003A">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Disarmament, as defined by the UN Office for Disaster Risk Reduction, is the act of removing or reducing access to arms in the form of the voluntary handover of weapons, ammunition, and explosives as a symbolic measure of ending involvement in conflict. They further go on to emphasize how this disarmament is frequently a requirement for long term stability in maintaining security post conflict.</w:t>
      </w:r>
      <w:r w:rsidDel="00000000" w:rsidR="00000000" w:rsidRPr="00000000">
        <w:rPr>
          <w:rFonts w:ascii="Times New Roman" w:cs="Times New Roman" w:eastAsia="Times New Roman" w:hAnsi="Times New Roman"/>
          <w:sz w:val="20"/>
          <w:szCs w:val="20"/>
          <w:vertAlign w:val="superscript"/>
        </w:rPr>
        <w:footnoteReference w:customMarkFollows="0" w:id="60"/>
      </w:r>
      <w:r w:rsidDel="00000000" w:rsidR="00000000" w:rsidRPr="00000000">
        <w:rPr>
          <w:rFonts w:ascii="Times New Roman" w:cs="Times New Roman" w:eastAsia="Times New Roman" w:hAnsi="Times New Roman"/>
          <w:sz w:val="20"/>
          <w:szCs w:val="20"/>
          <w:rtl w:val="0"/>
        </w:rPr>
        <w:t xml:space="preserve"> Demobilization was outlined by the UN General Assembly as the “formal and controlled discharge” of actors in the conflict from the groups they were a part of through a two step program of “processing” and “reinsertion.”</w:t>
      </w:r>
      <w:r w:rsidDel="00000000" w:rsidR="00000000" w:rsidRPr="00000000">
        <w:rPr>
          <w:rFonts w:ascii="Times New Roman" w:cs="Times New Roman" w:eastAsia="Times New Roman" w:hAnsi="Times New Roman"/>
          <w:sz w:val="20"/>
          <w:szCs w:val="20"/>
          <w:vertAlign w:val="superscript"/>
        </w:rPr>
        <w:footnoteReference w:customMarkFollows="0" w:id="61"/>
      </w:r>
      <w:r w:rsidDel="00000000" w:rsidR="00000000" w:rsidRPr="00000000">
        <w:rPr>
          <w:rFonts w:ascii="Times New Roman" w:cs="Times New Roman" w:eastAsia="Times New Roman" w:hAnsi="Times New Roman"/>
          <w:sz w:val="20"/>
          <w:szCs w:val="20"/>
          <w:rtl w:val="0"/>
        </w:rPr>
        <w:t xml:space="preserve"> In the same General Assembly note by the Secretary-General, reintegration was defined as the process of former actors in conflict gaining “civilian status” and “sustainable employment” primarily at the local level.</w:t>
      </w:r>
      <w:r w:rsidDel="00000000" w:rsidR="00000000" w:rsidRPr="00000000">
        <w:rPr>
          <w:rFonts w:ascii="Times New Roman" w:cs="Times New Roman" w:eastAsia="Times New Roman" w:hAnsi="Times New Roman"/>
          <w:sz w:val="20"/>
          <w:szCs w:val="20"/>
          <w:vertAlign w:val="superscript"/>
        </w:rPr>
        <w:footnoteReference w:customMarkFollows="0" w:id="62"/>
      </w: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3D">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E">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have fortunately been relatively few examples of child soldiers being a center point or even involved frequently in conflict throughout our extended history. Some examples of this general rule being broken are: pages of knights in the crusades, drummer boys in the Revolutionary War, American Civil War, and Napoleonic wars, as well as more recently the Boy Scouts of America and Hitler Youth.</w:t>
      </w:r>
      <w:r w:rsidDel="00000000" w:rsidR="00000000" w:rsidRPr="00000000">
        <w:rPr>
          <w:rFonts w:ascii="Times New Roman" w:cs="Times New Roman" w:eastAsia="Times New Roman" w:hAnsi="Times New Roman"/>
          <w:sz w:val="20"/>
          <w:szCs w:val="20"/>
          <w:vertAlign w:val="superscript"/>
        </w:rPr>
        <w:footnoteReference w:customMarkFollows="0" w:id="63"/>
      </w:r>
      <w:r w:rsidDel="00000000" w:rsidR="00000000" w:rsidRPr="00000000">
        <w:rPr>
          <w:rFonts w:ascii="Times New Roman" w:cs="Times New Roman" w:eastAsia="Times New Roman" w:hAnsi="Times New Roman"/>
          <w:sz w:val="20"/>
          <w:szCs w:val="20"/>
          <w:rtl w:val="0"/>
        </w:rPr>
        <w:t xml:space="preserve"> However, following this trend of the more childhood involvement as time passes, children began to be more and more integral to many conflicts across the world during the 20th and 21st centuries. In recent decades, between 250,000 and 300,000 child soldiers were utilized in conflict worldwide.</w:t>
      </w:r>
      <w:r w:rsidDel="00000000" w:rsidR="00000000" w:rsidRPr="00000000">
        <w:rPr>
          <w:rFonts w:ascii="Times New Roman" w:cs="Times New Roman" w:eastAsia="Times New Roman" w:hAnsi="Times New Roman"/>
          <w:sz w:val="20"/>
          <w:szCs w:val="20"/>
          <w:vertAlign w:val="superscript"/>
        </w:rPr>
        <w:footnoteReference w:customMarkFollows="0" w:id="64"/>
      </w:r>
      <w:r w:rsidDel="00000000" w:rsidR="00000000" w:rsidRPr="00000000">
        <w:rPr>
          <w:rFonts w:ascii="Times New Roman" w:cs="Times New Roman" w:eastAsia="Times New Roman" w:hAnsi="Times New Roman"/>
          <w:sz w:val="20"/>
          <w:szCs w:val="20"/>
          <w:rtl w:val="0"/>
        </w:rPr>
        <w:t xml:space="preserve"> These children have been seen in conflicts in the Philippines, the Democratic Republic of the Congo (DRC), Indonesia, Nepal, Myanmar, Timor Leste, Bangladesh, Laos, Pakistan, Thailand, Sierra Leone, Chechnya, Croatia, Bosnia and Herzegovina, Serbia, Sudan, Mali, Nigeria, Central African Republic (CAR), Afghanistan, Somalia, South Sudan, Sri Lanka, Yemen, Iraq, Syria, Colombia, Guatemala, Peru, Bolivia, and more.</w:t>
      </w:r>
      <w:r w:rsidDel="00000000" w:rsidR="00000000" w:rsidRPr="00000000">
        <w:rPr>
          <w:rFonts w:ascii="Times New Roman" w:cs="Times New Roman" w:eastAsia="Times New Roman" w:hAnsi="Times New Roman"/>
          <w:sz w:val="20"/>
          <w:szCs w:val="20"/>
          <w:vertAlign w:val="superscript"/>
        </w:rPr>
        <w:footnoteReference w:customMarkFollows="0" w:id="65"/>
      </w:r>
      <w:r w:rsidDel="00000000" w:rsidR="00000000" w:rsidRPr="00000000">
        <w:rPr>
          <w:rFonts w:ascii="Times New Roman" w:cs="Times New Roman" w:eastAsia="Times New Roman" w:hAnsi="Times New Roman"/>
          <w:sz w:val="20"/>
          <w:szCs w:val="20"/>
          <w:rtl w:val="0"/>
        </w:rPr>
        <w:t xml:space="preserve"> In these conflicts, children are often recruited into military and paramilitary operations through force and coercion, but also through ideology and drug abuse. </w:t>
      </w:r>
      <w:r w:rsidDel="00000000" w:rsidR="00000000" w:rsidRPr="00000000">
        <w:rPr>
          <w:rFonts w:ascii="Times New Roman" w:cs="Times New Roman" w:eastAsia="Times New Roman" w:hAnsi="Times New Roman"/>
          <w:sz w:val="20"/>
          <w:szCs w:val="20"/>
          <w:vertAlign w:val="superscript"/>
        </w:rPr>
        <w:footnoteReference w:customMarkFollows="0" w:id="66"/>
      </w: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frequent abuse led to many efforts on the international scene to combat, reduce, and disincentivize the use of child soldiers. The most common solution, and the one we will be focusing on, is DDR. The original focus of many peacebuilding missions was on the disarmament of Member States’ governments. As time moved on, the focus began to shift to the individual.</w:t>
      </w:r>
      <w:r w:rsidDel="00000000" w:rsidR="00000000" w:rsidRPr="00000000">
        <w:rPr>
          <w:rFonts w:ascii="Times New Roman" w:cs="Times New Roman" w:eastAsia="Times New Roman" w:hAnsi="Times New Roman"/>
          <w:sz w:val="20"/>
          <w:szCs w:val="20"/>
          <w:vertAlign w:val="superscript"/>
        </w:rPr>
        <w:footnoteReference w:customMarkFollows="0" w:id="67"/>
      </w:r>
      <w:r w:rsidDel="00000000" w:rsidR="00000000" w:rsidRPr="00000000">
        <w:rPr>
          <w:rFonts w:ascii="Times New Roman" w:cs="Times New Roman" w:eastAsia="Times New Roman" w:hAnsi="Times New Roman"/>
          <w:sz w:val="20"/>
          <w:szCs w:val="20"/>
          <w:rtl w:val="0"/>
        </w:rPr>
        <w:t xml:space="preserve"> This led to the emergence of the modern DDR efforts around 1990 with the expansion of previous efforts to include disarmament as a central focus.</w:t>
      </w:r>
      <w:r w:rsidDel="00000000" w:rsidR="00000000" w:rsidRPr="00000000">
        <w:rPr>
          <w:rFonts w:ascii="Times New Roman" w:cs="Times New Roman" w:eastAsia="Times New Roman" w:hAnsi="Times New Roman"/>
          <w:sz w:val="20"/>
          <w:szCs w:val="20"/>
          <w:vertAlign w:val="superscript"/>
        </w:rPr>
        <w:footnoteReference w:customMarkFollows="0" w:id="68"/>
      </w:r>
      <w:r w:rsidDel="00000000" w:rsidR="00000000" w:rsidRPr="00000000">
        <w:rPr>
          <w:rFonts w:ascii="Times New Roman" w:cs="Times New Roman" w:eastAsia="Times New Roman" w:hAnsi="Times New Roman"/>
          <w:sz w:val="20"/>
          <w:szCs w:val="20"/>
          <w:rtl w:val="0"/>
        </w:rPr>
        <w:t xml:space="preserve"> Shortly after this, the landmark resolution the Optional Protocol on the Involvement of Children in Armed Conflict was created, which 172 Member States have ratified since. The primary contemporary definitions of DDR from the United Nations came in 2005 with </w:t>
      </w:r>
      <w:r w:rsidDel="00000000" w:rsidR="00000000" w:rsidRPr="00000000">
        <w:rPr>
          <w:rFonts w:ascii="Times New Roman" w:cs="Times New Roman" w:eastAsia="Times New Roman" w:hAnsi="Times New Roman"/>
          <w:color w:val="111827"/>
          <w:sz w:val="20"/>
          <w:szCs w:val="20"/>
          <w:highlight w:val="white"/>
          <w:rtl w:val="0"/>
        </w:rPr>
        <w:t xml:space="preserve">A/C.5/59/31 after which the Security Council implemented Resolution 1612 of the same year which established a monitoring and reporting mechanism (MRM) to establish where DDR and other conflict reduction measures were needed.</w:t>
      </w:r>
      <w:r w:rsidDel="00000000" w:rsidR="00000000" w:rsidRPr="00000000">
        <w:rPr>
          <w:rFonts w:ascii="Times New Roman" w:cs="Times New Roman" w:eastAsia="Times New Roman" w:hAnsi="Times New Roman"/>
          <w:color w:val="111827"/>
          <w:sz w:val="20"/>
          <w:szCs w:val="20"/>
          <w:highlight w:val="white"/>
          <w:vertAlign w:val="superscript"/>
        </w:rPr>
        <w:footnoteReference w:customMarkFollows="0" w:id="69"/>
      </w:r>
      <w:r w:rsidDel="00000000" w:rsidR="00000000" w:rsidRPr="00000000">
        <w:rPr>
          <w:rFonts w:ascii="Times New Roman" w:cs="Times New Roman" w:eastAsia="Times New Roman" w:hAnsi="Times New Roman"/>
          <w:color w:val="111827"/>
          <w:sz w:val="20"/>
          <w:szCs w:val="20"/>
          <w:highlight w:val="white"/>
          <w:rtl w:val="0"/>
        </w:rPr>
        <w:t xml:space="preserve"> The process of DDR was used to differing success in Sudan, Burundi, DRC, CAR, and Cote d’Ivoire up until 2020. Many of these Member States also have current conflict-prevention measures from their DDR efforts in partnership with Community Violence Reduction programs</w:t>
      </w:r>
      <w:r w:rsidDel="00000000" w:rsidR="00000000" w:rsidRPr="00000000">
        <w:rPr>
          <w:rFonts w:ascii="Times New Roman" w:cs="Times New Roman" w:eastAsia="Times New Roman" w:hAnsi="Times New Roman"/>
          <w:color w:val="111827"/>
          <w:sz w:val="20"/>
          <w:szCs w:val="20"/>
          <w:rtl w:val="0"/>
        </w:rPr>
        <w:t xml:space="preserve">.</w:t>
      </w:r>
      <w:r w:rsidDel="00000000" w:rsidR="00000000" w:rsidRPr="00000000">
        <w:rPr>
          <w:rFonts w:ascii="Times New Roman" w:cs="Times New Roman" w:eastAsia="Times New Roman" w:hAnsi="Times New Roman"/>
          <w:color w:val="111827"/>
          <w:sz w:val="20"/>
          <w:szCs w:val="20"/>
          <w:vertAlign w:val="superscript"/>
        </w:rPr>
        <w:footnoteReference w:customMarkFollows="0" w:id="70"/>
      </w:r>
      <w:r w:rsidDel="00000000" w:rsidR="00000000" w:rsidRPr="00000000">
        <w:rPr>
          <w:rFonts w:ascii="Times New Roman" w:cs="Times New Roman" w:eastAsia="Times New Roman" w:hAnsi="Times New Roman"/>
          <w:color w:val="111827"/>
          <w:sz w:val="20"/>
          <w:szCs w:val="20"/>
          <w:rtl w:val="0"/>
        </w:rPr>
        <w:t xml:space="preserve"> According to the operational guide of Integrated DDR Standards (IDDRS), the “scale, complexity, and scope” of DDR has undergone changes since its initial inception. The DDR standards highlight how efforts are growing to better accommodate regional and local customs and ideas, begin the process at different levels, and create a framework that integrates all elements of DDR concurrently, rather than linearly.</w:t>
      </w:r>
      <w:r w:rsidDel="00000000" w:rsidR="00000000" w:rsidRPr="00000000">
        <w:rPr>
          <w:rFonts w:ascii="Times New Roman" w:cs="Times New Roman" w:eastAsia="Times New Roman" w:hAnsi="Times New Roman"/>
          <w:color w:val="111827"/>
          <w:sz w:val="20"/>
          <w:szCs w:val="20"/>
          <w:vertAlign w:val="superscript"/>
        </w:rPr>
        <w:footnoteReference w:customMarkFollows="0" w:id="71"/>
      </w: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43">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Security Council Report for the last three years, there have been ever-increasing years with violations of children’s rights, with over 36,000 UN-verified grave violations happening in 2024. This has been noted alongside increasing sexual violence against children, a reduction in sustained and effective education, and reduction in usable farmland with the reemergence of anti-personnel mines.</w:t>
      </w:r>
      <w:r w:rsidDel="00000000" w:rsidR="00000000" w:rsidRPr="00000000">
        <w:rPr>
          <w:rFonts w:ascii="Times New Roman" w:cs="Times New Roman" w:eastAsia="Times New Roman" w:hAnsi="Times New Roman"/>
          <w:sz w:val="20"/>
          <w:szCs w:val="20"/>
          <w:vertAlign w:val="superscript"/>
        </w:rPr>
        <w:footnoteReference w:customMarkFollows="0" w:id="72"/>
      </w:r>
      <w:r w:rsidDel="00000000" w:rsidR="00000000" w:rsidRPr="00000000">
        <w:rPr>
          <w:rFonts w:ascii="Times New Roman" w:cs="Times New Roman" w:eastAsia="Times New Roman" w:hAnsi="Times New Roman"/>
          <w:sz w:val="20"/>
          <w:szCs w:val="20"/>
          <w:rtl w:val="0"/>
        </w:rPr>
        <w:t xml:space="preserve"> This reemergence of conflict leads to instability has been shown in the past to contribute to difficulty in creating a foundation for economic and social growth in developing Member States. This change also pushes these Member States further from achieving Sustainable Development Goal 4, which reduces the future employability of these children and ultimately promotes the cycle of poverty observed in developing Member States.</w:t>
      </w:r>
      <w:r w:rsidDel="00000000" w:rsidR="00000000" w:rsidRPr="00000000">
        <w:rPr>
          <w:rFonts w:ascii="Times New Roman" w:cs="Times New Roman" w:eastAsia="Times New Roman" w:hAnsi="Times New Roman"/>
          <w:sz w:val="20"/>
          <w:szCs w:val="20"/>
          <w:vertAlign w:val="superscript"/>
        </w:rPr>
        <w:footnoteReference w:customMarkFollows="0" w:id="73"/>
      </w:r>
      <w:r w:rsidDel="00000000" w:rsidR="00000000" w:rsidRPr="00000000">
        <w:rPr>
          <w:rtl w:val="0"/>
        </w:rPr>
      </w:r>
    </w:p>
    <w:p w:rsidR="00000000" w:rsidDel="00000000" w:rsidP="00000000" w:rsidRDefault="00000000" w:rsidRPr="00000000" w14:paraId="00000045">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Despite the difficulties and growing problems with child soldiers, DDR efforts have been redoubled. With the 2024 Disarmament, Demobilization, and Reintegration Symposium seeing a new effort termed the “DDR Pledge” to reduce violence escalation. Through this pledge they promoted three pillars: Primacy of Politics, Shift to Prevention, and Partnerships and Financing.</w:t>
      </w:r>
      <w:r w:rsidDel="00000000" w:rsidR="00000000" w:rsidRPr="00000000">
        <w:rPr>
          <w:rFonts w:ascii="Times New Roman" w:cs="Times New Roman" w:eastAsia="Times New Roman" w:hAnsi="Times New Roman"/>
          <w:sz w:val="20"/>
          <w:szCs w:val="20"/>
          <w:vertAlign w:val="superscript"/>
        </w:rPr>
        <w:footnoteReference w:customMarkFollows="0" w:id="74"/>
      </w:r>
      <w:r w:rsidDel="00000000" w:rsidR="00000000" w:rsidRPr="00000000">
        <w:rPr>
          <w:rFonts w:ascii="Times New Roman" w:cs="Times New Roman" w:eastAsia="Times New Roman" w:hAnsi="Times New Roman"/>
          <w:sz w:val="20"/>
          <w:szCs w:val="20"/>
          <w:rtl w:val="0"/>
        </w:rPr>
        <w:t xml:space="preserve"> This shift promotes aligning DDR efforts with the goals of Member States’ governments to reduce political friction, align DDR efforts with other conflict prevention efforts, and promote partnerships that create trade and industry which reincentivizes peace and cooperation.</w:t>
      </w:r>
      <w:r w:rsidDel="00000000" w:rsidR="00000000" w:rsidRPr="00000000">
        <w:rPr>
          <w:rFonts w:ascii="Times New Roman" w:cs="Times New Roman" w:eastAsia="Times New Roman" w:hAnsi="Times New Roman"/>
          <w:sz w:val="20"/>
          <w:szCs w:val="20"/>
          <w:vertAlign w:val="superscript"/>
        </w:rPr>
        <w:footnoteReference w:customMarkFollows="0" w:id="75"/>
      </w:r>
      <w:r w:rsidDel="00000000" w:rsidR="00000000" w:rsidRPr="00000000">
        <w:rPr>
          <w:rFonts w:ascii="Times New Roman" w:cs="Times New Roman" w:eastAsia="Times New Roman" w:hAnsi="Times New Roman"/>
          <w:sz w:val="20"/>
          <w:szCs w:val="20"/>
          <w:rtl w:val="0"/>
        </w:rPr>
        <w:t xml:space="preserve"> However, financing of reintegrations efforts continues to come from private donations, unlike demobilization and disarmament efforts which are funded through the Security Council and Peacekeeper budget allocation process, respectively.</w:t>
      </w:r>
      <w:r w:rsidDel="00000000" w:rsidR="00000000" w:rsidRPr="00000000">
        <w:rPr>
          <w:rFonts w:ascii="Times New Roman" w:cs="Times New Roman" w:eastAsia="Times New Roman" w:hAnsi="Times New Roman"/>
          <w:sz w:val="20"/>
          <w:szCs w:val="20"/>
          <w:vertAlign w:val="superscript"/>
        </w:rPr>
        <w:footnoteReference w:customMarkFollows="0" w:id="76"/>
      </w: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p>
    <w:p w:rsidR="00000000" w:rsidDel="00000000" w:rsidP="00000000" w:rsidRDefault="00000000" w:rsidRPr="00000000" w14:paraId="00000048">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2002 the Optional Protocol on the Involvement of Children in Armed Conflict was put into force with the goal of preventing the recruitment of soldiers under the age of 18. Following this, in 2005, the Working Group on Children and Armed Conflict was established by resolution 1612 to further protect children from exploitation and intergovernmental action during times of conflict.</w:t>
      </w:r>
      <w:r w:rsidDel="00000000" w:rsidR="00000000" w:rsidRPr="00000000">
        <w:rPr>
          <w:rFonts w:ascii="Times New Roman" w:cs="Times New Roman" w:eastAsia="Times New Roman" w:hAnsi="Times New Roman"/>
          <w:sz w:val="20"/>
          <w:szCs w:val="20"/>
          <w:vertAlign w:val="superscript"/>
        </w:rPr>
        <w:footnoteReference w:customMarkFollows="0" w:id="77"/>
      </w:r>
      <w:r w:rsidDel="00000000" w:rsidR="00000000" w:rsidRPr="00000000">
        <w:rPr>
          <w:rFonts w:ascii="Times New Roman" w:cs="Times New Roman" w:eastAsia="Times New Roman" w:hAnsi="Times New Roman"/>
          <w:sz w:val="20"/>
          <w:szCs w:val="20"/>
          <w:rtl w:val="0"/>
        </w:rPr>
        <w:t xml:space="preserve"> However, this group last met in 2019 for the CAR Sanctions Committee and has not been used since.</w:t>
      </w:r>
      <w:r w:rsidDel="00000000" w:rsidR="00000000" w:rsidRPr="00000000">
        <w:rPr>
          <w:rFonts w:ascii="Times New Roman" w:cs="Times New Roman" w:eastAsia="Times New Roman" w:hAnsi="Times New Roman"/>
          <w:sz w:val="20"/>
          <w:szCs w:val="20"/>
          <w:vertAlign w:val="superscript"/>
        </w:rPr>
        <w:footnoteReference w:customMarkFollows="0" w:id="78"/>
      </w:r>
      <w:r w:rsidDel="00000000" w:rsidR="00000000" w:rsidRPr="00000000">
        <w:rPr>
          <w:rFonts w:ascii="Times New Roman" w:cs="Times New Roman" w:eastAsia="Times New Roman" w:hAnsi="Times New Roman"/>
          <w:sz w:val="20"/>
          <w:szCs w:val="20"/>
          <w:rtl w:val="0"/>
        </w:rPr>
        <w:t xml:space="preserve"> The UNDDR created the IDDRS in 2006, which has been improved annually since, to provide a framework to DDR efforts. In line with these improvements, IDDR 5.20 was an addition specifically about the creation of DDR efforts for children.</w:t>
      </w:r>
      <w:r w:rsidDel="00000000" w:rsidR="00000000" w:rsidRPr="00000000">
        <w:rPr>
          <w:rFonts w:ascii="Times New Roman" w:cs="Times New Roman" w:eastAsia="Times New Roman" w:hAnsi="Times New Roman"/>
          <w:sz w:val="20"/>
          <w:szCs w:val="20"/>
          <w:vertAlign w:val="superscript"/>
        </w:rPr>
        <w:footnoteReference w:customMarkFollows="0" w:id="79"/>
      </w:r>
      <w:r w:rsidDel="00000000" w:rsidR="00000000" w:rsidRPr="00000000">
        <w:rPr>
          <w:rFonts w:ascii="Times New Roman" w:cs="Times New Roman" w:eastAsia="Times New Roman" w:hAnsi="Times New Roman"/>
          <w:sz w:val="20"/>
          <w:szCs w:val="20"/>
          <w:rtl w:val="0"/>
        </w:rPr>
        <w:t xml:space="preserve"> Also in 2006, Resolution S/RES/1698 by the Security Council established a set of sanctions for Member States found to be recruiting or targeting children in conflict.</w:t>
      </w:r>
      <w:r w:rsidDel="00000000" w:rsidR="00000000" w:rsidRPr="00000000">
        <w:rPr>
          <w:rFonts w:ascii="Times New Roman" w:cs="Times New Roman" w:eastAsia="Times New Roman" w:hAnsi="Times New Roman"/>
          <w:sz w:val="20"/>
          <w:szCs w:val="20"/>
          <w:vertAlign w:val="superscript"/>
        </w:rPr>
        <w:footnoteReference w:customMarkFollows="0" w:id="80"/>
      </w:r>
      <w:r w:rsidDel="00000000" w:rsidR="00000000" w:rsidRPr="00000000">
        <w:rPr>
          <w:rFonts w:ascii="Times New Roman" w:cs="Times New Roman" w:eastAsia="Times New Roman" w:hAnsi="Times New Roman"/>
          <w:sz w:val="20"/>
          <w:szCs w:val="20"/>
          <w:rtl w:val="0"/>
        </w:rPr>
        <w:t xml:space="preserve"> Following the creation of these frameworks, the United Nations Secretariat created a dedicated DDR section in 2007 to provide a central place for all following DDR efforts to come from.</w:t>
      </w:r>
      <w:r w:rsidDel="00000000" w:rsidR="00000000" w:rsidRPr="00000000">
        <w:rPr>
          <w:rFonts w:ascii="Times New Roman" w:cs="Times New Roman" w:eastAsia="Times New Roman" w:hAnsi="Times New Roman"/>
          <w:sz w:val="20"/>
          <w:szCs w:val="20"/>
          <w:vertAlign w:val="superscript"/>
        </w:rPr>
        <w:footnoteReference w:customMarkFollows="0" w:id="81"/>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2010, The United Nations published the Second Generation in DDR Practices in Peacekeeping Operations which expanded: the premises of DDR to include alternative forms of reintegration, the flexibility in DDR frameworks, and demobilization efforts which were previously secondary to Disarmament.</w:t>
      </w:r>
      <w:r w:rsidDel="00000000" w:rsidR="00000000" w:rsidRPr="00000000">
        <w:rPr>
          <w:rFonts w:ascii="Times New Roman" w:cs="Times New Roman" w:eastAsia="Times New Roman" w:hAnsi="Times New Roman"/>
          <w:sz w:val="20"/>
          <w:szCs w:val="20"/>
          <w:vertAlign w:val="superscript"/>
        </w:rPr>
        <w:footnoteReference w:customMarkFollows="0" w:id="82"/>
      </w:r>
      <w:r w:rsidDel="00000000" w:rsidR="00000000" w:rsidRPr="00000000">
        <w:rPr>
          <w:rFonts w:ascii="Times New Roman" w:cs="Times New Roman" w:eastAsia="Times New Roman" w:hAnsi="Times New Roman"/>
          <w:sz w:val="20"/>
          <w:szCs w:val="20"/>
          <w:rtl w:val="0"/>
        </w:rPr>
        <w:t xml:space="preserve"> Then in 2016, the UN highlighted how DDR frameworks were integrated with Community Violence Reduction plans to create people-centered and flexible reintegration.</w:t>
      </w:r>
      <w:r w:rsidDel="00000000" w:rsidR="00000000" w:rsidRPr="00000000">
        <w:rPr>
          <w:rFonts w:ascii="Times New Roman" w:cs="Times New Roman" w:eastAsia="Times New Roman" w:hAnsi="Times New Roman"/>
          <w:sz w:val="20"/>
          <w:szCs w:val="20"/>
          <w:vertAlign w:val="superscript"/>
        </w:rPr>
        <w:footnoteReference w:customMarkFollows="0" w:id="83"/>
      </w:r>
      <w:r w:rsidDel="00000000" w:rsidR="00000000" w:rsidRPr="00000000">
        <w:rPr>
          <w:rFonts w:ascii="Times New Roman" w:cs="Times New Roman" w:eastAsia="Times New Roman" w:hAnsi="Times New Roman"/>
          <w:sz w:val="20"/>
          <w:szCs w:val="20"/>
          <w:rtl w:val="0"/>
        </w:rPr>
        <w:t xml:space="preserve"> In 2017, the Peacekeeping Operations expanded their future DDR efforts through reform of the IDDRS to include the disengagement of combatants from extremist groups, highlighting how this was being done in Somalia.</w:t>
      </w:r>
      <w:r w:rsidDel="00000000" w:rsidR="00000000" w:rsidRPr="00000000">
        <w:rPr>
          <w:rFonts w:ascii="Times New Roman" w:cs="Times New Roman" w:eastAsia="Times New Roman" w:hAnsi="Times New Roman"/>
          <w:sz w:val="20"/>
          <w:szCs w:val="20"/>
          <w:vertAlign w:val="superscript"/>
        </w:rPr>
        <w:footnoteReference w:customMarkFollows="0" w:id="84"/>
      </w:r>
      <w:r w:rsidDel="00000000" w:rsidR="00000000" w:rsidRPr="00000000">
        <w:rPr>
          <w:rtl w:val="0"/>
        </w:rPr>
      </w:r>
    </w:p>
    <w:p w:rsidR="00000000" w:rsidDel="00000000" w:rsidP="00000000" w:rsidRDefault="00000000" w:rsidRPr="00000000" w14:paraId="0000004B">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2018 the Global Coalition for Reintegration was created and is currently being co-chaired by </w:t>
      </w:r>
      <w:r w:rsidDel="00000000" w:rsidR="00000000" w:rsidRPr="00000000">
        <w:rPr>
          <w:rFonts w:ascii="Times New Roman" w:cs="Times New Roman" w:eastAsia="Times New Roman" w:hAnsi="Times New Roman"/>
          <w:sz w:val="20"/>
          <w:szCs w:val="20"/>
          <w:highlight w:val="white"/>
          <w:rtl w:val="0"/>
        </w:rPr>
        <w:t xml:space="preserve">the Office of the Special Representative of the Secretary-General for Children and Armed Conflict and UNICEF to provide children with resources in post-conflict zones.</w:t>
      </w:r>
      <w:r w:rsidDel="00000000" w:rsidR="00000000" w:rsidRPr="00000000">
        <w:rPr>
          <w:rFonts w:ascii="Times New Roman" w:cs="Times New Roman" w:eastAsia="Times New Roman" w:hAnsi="Times New Roman"/>
          <w:sz w:val="20"/>
          <w:szCs w:val="20"/>
          <w:highlight w:val="white"/>
          <w:vertAlign w:val="superscript"/>
        </w:rPr>
        <w:footnoteReference w:customMarkFollows="0" w:id="85"/>
      </w:r>
      <w:r w:rsidDel="00000000" w:rsidR="00000000" w:rsidRPr="00000000">
        <w:rPr>
          <w:rFonts w:ascii="Times New Roman" w:cs="Times New Roman" w:eastAsia="Times New Roman" w:hAnsi="Times New Roman"/>
          <w:sz w:val="20"/>
          <w:szCs w:val="20"/>
          <w:highlight w:val="white"/>
          <w:rtl w:val="0"/>
        </w:rPr>
        <w:t xml:space="preserve"> In 2019, the Group of Friends of DDR was created to allow for inter-governmental cooperation on DDR efforts and promote regional cooperation.</w:t>
      </w:r>
      <w:r w:rsidDel="00000000" w:rsidR="00000000" w:rsidRPr="00000000">
        <w:rPr>
          <w:rFonts w:ascii="Times New Roman" w:cs="Times New Roman" w:eastAsia="Times New Roman" w:hAnsi="Times New Roman"/>
          <w:sz w:val="20"/>
          <w:szCs w:val="20"/>
          <w:highlight w:val="white"/>
          <w:vertAlign w:val="superscript"/>
        </w:rPr>
        <w:footnoteReference w:customMarkFollows="0" w:id="86"/>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In 2024, Resolution S/RES/2764 emphasized child protection infrastructure such as refugee camps, child protection advisors, and training for local leaders in the process of reintegration.</w:t>
      </w:r>
      <w:r w:rsidDel="00000000" w:rsidR="00000000" w:rsidRPr="00000000">
        <w:rPr>
          <w:rFonts w:ascii="Times New Roman" w:cs="Times New Roman" w:eastAsia="Times New Roman" w:hAnsi="Times New Roman"/>
          <w:sz w:val="20"/>
          <w:szCs w:val="20"/>
          <w:vertAlign w:val="superscript"/>
        </w:rPr>
        <w:footnoteReference w:customMarkFollows="0" w:id="87"/>
      </w: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4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conflict involving children begins to have a resurgence, it is more important than ever to reemphasize the programs that we have seen work in the past. The use of DDR has a long history and unfortunately has had mixed results. Despite this, we have seen that when properly implemented they can create foundations for all of the citizens of Member States, including children, to return to a more stable society. Disarmament, demobilization, and </w:t>
      </w:r>
    </w:p>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Reintegration can take vastly different forms and it is important to acknowledge the benefits of each. These efforts have also effectively been combined with other complementary UN mandates and programs to create plans greater than the sum of their parts. </w:t>
      </w:r>
    </w:p>
    <w:p w:rsidR="00000000" w:rsidDel="00000000" w:rsidP="00000000" w:rsidRDefault="00000000" w:rsidRPr="00000000" w14:paraId="0000005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committee, delegates should work together to emphasize existing programs, promote alternative sources of funding, and ensure Member State sovereignty with every solution. As is the goal of this committee, every Member State should work to have healthy discussion, debate, and cooperation. The solutions created should emphasize the goal of promoting international stability and reducing harm across the globe. The primary goals of every delegation should be to analyze how previous efforts of DDR were insufficient, short sighted, or harmful and set out to create plans and programs which could rectify these past issues. All solutions should be in accords with the Peacebuilding Mandate and understand the roles and powers that this committee holds.</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8">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Children’s Fund.n.d. “Children Recruited by Armed Forces or Armed Groups,” UNICEF, </w:t>
      </w:r>
      <w:hyperlink r:id="rId1">
        <w:r w:rsidDel="00000000" w:rsidR="00000000" w:rsidRPr="00000000">
          <w:rPr>
            <w:rFonts w:ascii="Times New Roman" w:cs="Times New Roman" w:eastAsia="Times New Roman" w:hAnsi="Times New Roman"/>
            <w:sz w:val="18"/>
            <w:szCs w:val="18"/>
            <w:rtl w:val="0"/>
          </w:rPr>
          <w:t xml:space="preserve">https://www.unicef.org/protection/children-recruited-by-armed-forces</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59">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Andrew Cunningham. “</w:t>
      </w:r>
      <w:r w:rsidDel="00000000" w:rsidR="00000000" w:rsidRPr="00000000">
        <w:rPr>
          <w:rFonts w:ascii="Times New Roman" w:cs="Times New Roman" w:eastAsia="Times New Roman" w:hAnsi="Times New Roman"/>
          <w:sz w:val="18"/>
          <w:szCs w:val="18"/>
          <w:rtl w:val="0"/>
        </w:rPr>
        <w:t xml:space="preserve">Post-conflict contexts and humanitarian organizations: the changing</w:t>
      </w:r>
      <w:r w:rsidDel="00000000" w:rsidR="00000000" w:rsidRPr="00000000">
        <w:rPr>
          <w:rFonts w:ascii="Times New Roman" w:cs="Times New Roman" w:eastAsia="Times New Roman" w:hAnsi="Times New Roman"/>
          <w:sz w:val="18"/>
          <w:szCs w:val="18"/>
          <w:rtl w:val="0"/>
        </w:rPr>
        <w:t xml:space="preserve"> relationship with states,” Springer Nature Link, Springer, 2017, </w:t>
      </w:r>
      <w:hyperlink r:id="rId2">
        <w:r w:rsidDel="00000000" w:rsidR="00000000" w:rsidRPr="00000000">
          <w:rPr>
            <w:rFonts w:ascii="Times New Roman" w:cs="Times New Roman" w:eastAsia="Times New Roman" w:hAnsi="Times New Roman"/>
            <w:sz w:val="18"/>
            <w:szCs w:val="18"/>
            <w:rtl w:val="0"/>
          </w:rPr>
          <w:t xml:space="preserve">https://link.springer.com/article/10.1186/s41018-017-0022-3</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60">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Disarmament, Demobilization, and Reintegration. 2020. “Disarmament,” Integrated DDR Standards, UNDDR, </w:t>
      </w:r>
      <w:hyperlink r:id="rId3">
        <w:r w:rsidDel="00000000" w:rsidR="00000000" w:rsidRPr="00000000">
          <w:rPr>
            <w:rFonts w:ascii="Times New Roman" w:cs="Times New Roman" w:eastAsia="Times New Roman" w:hAnsi="Times New Roman"/>
            <w:sz w:val="18"/>
            <w:szCs w:val="18"/>
            <w:rtl w:val="0"/>
          </w:rPr>
          <w:t xml:space="preserve">https://www.unddr.org/wp-content/uploads/2022/09/IDDRS-4.10-Disarmament.pdf.pdf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61">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Secretary-General. 2005.  “</w:t>
      </w:r>
      <w:r w:rsidDel="00000000" w:rsidR="00000000" w:rsidRPr="00000000">
        <w:rPr>
          <w:rFonts w:ascii="Times New Roman" w:cs="Times New Roman" w:eastAsia="Times New Roman" w:hAnsi="Times New Roman"/>
          <w:sz w:val="18"/>
          <w:szCs w:val="18"/>
          <w:rtl w:val="0"/>
        </w:rPr>
        <w:t xml:space="preserve">Administrative and budgetary aspects of the financing of the United Nations peacekeeping operations : note / by the Secretary-General,” UN Digital Records, UN Secretary-General,</w:t>
      </w:r>
      <w:hyperlink r:id="rId4">
        <w:r w:rsidDel="00000000" w:rsidR="00000000" w:rsidRPr="00000000">
          <w:rPr>
            <w:rFonts w:ascii="Times New Roman" w:cs="Times New Roman" w:eastAsia="Times New Roman" w:hAnsi="Times New Roman"/>
            <w:sz w:val="18"/>
            <w:szCs w:val="18"/>
            <w:rtl w:val="0"/>
          </w:rPr>
          <w:t xml:space="preserve">https://digitallibrary.un.org/record/549756?v=pdf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62">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3">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Peter Singer. 2006. “Young Soldiers Used in Conflicts Around the World,” Brookings Institute, Washington Post, </w:t>
      </w:r>
      <w:hyperlink r:id="rId5">
        <w:r w:rsidDel="00000000" w:rsidR="00000000" w:rsidRPr="00000000">
          <w:rPr>
            <w:rFonts w:ascii="Times New Roman" w:cs="Times New Roman" w:eastAsia="Times New Roman" w:hAnsi="Times New Roman"/>
            <w:sz w:val="18"/>
            <w:szCs w:val="18"/>
            <w:rtl w:val="0"/>
          </w:rPr>
          <w:t xml:space="preserve">https://www.brookings.edu/articles/young-soldiers-used-in-conflicts-around-the-world/</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64">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Max Drumbl. 2020. “Children in Armed Conflict, in The Oxford Handbook of Children and Handbook of Children’s Rights Law (Jonathan Todres &amp; Shani M. King eds., 2020),” Scholarly Commons Law, Washington and Lee University, </w:t>
      </w:r>
      <w:hyperlink r:id="rId6">
        <w:r w:rsidDel="00000000" w:rsidR="00000000" w:rsidRPr="00000000">
          <w:rPr>
            <w:rFonts w:ascii="Times New Roman" w:cs="Times New Roman" w:eastAsia="Times New Roman" w:hAnsi="Times New Roman"/>
            <w:sz w:val="18"/>
            <w:szCs w:val="18"/>
            <w:rtl w:val="0"/>
          </w:rPr>
          <w:t xml:space="preserve">https://scholarlycommons.law.wlu.edu/cgi/viewcontent.cgi?article=1124&amp;context=fac_books</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65">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6">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70">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Peacekeeping Operations.2010. “DDR in Peace Operations a Retrospective,” UN Peacekeeping, United Nations, </w:t>
      </w:r>
      <w:hyperlink r:id="rId7">
        <w:r w:rsidDel="00000000" w:rsidR="00000000" w:rsidRPr="00000000">
          <w:rPr>
            <w:rFonts w:ascii="Times New Roman" w:cs="Times New Roman" w:eastAsia="Times New Roman" w:hAnsi="Times New Roman"/>
            <w:sz w:val="18"/>
            <w:szCs w:val="18"/>
            <w:rtl w:val="0"/>
          </w:rPr>
          <w:t xml:space="preserve">https://peacekeeping.un.org/en/disarmament-demobilization-and-reintegration</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72">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Peacekeeping Operations. 2010.  “Operation Guide to the IDDRS Standards,” UN Peacekeeping, United Nations, </w:t>
      </w:r>
      <w:hyperlink r:id="rId8">
        <w:r w:rsidDel="00000000" w:rsidR="00000000" w:rsidRPr="00000000">
          <w:rPr>
            <w:rFonts w:ascii="Times New Roman" w:cs="Times New Roman" w:eastAsia="Times New Roman" w:hAnsi="Times New Roman"/>
            <w:sz w:val="18"/>
            <w:szCs w:val="18"/>
            <w:rtl w:val="0"/>
          </w:rPr>
          <w:t xml:space="preserve">https://peacekeeping.un.org/sites/default/files/operational-guide-rev-2010-web.pdf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0">
    <w:p w:rsidR="00000000" w:rsidDel="00000000" w:rsidP="00000000" w:rsidRDefault="00000000" w:rsidRPr="00000000" w14:paraId="0000006B">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Peacebuilding Commission. N.d. “Peacebuilding Commission Mandate,” Peacebuilding Commission, United Nations, ,  </w:t>
      </w:r>
      <w:hyperlink r:id="rId9">
        <w:r w:rsidDel="00000000" w:rsidR="00000000" w:rsidRPr="00000000">
          <w:rPr>
            <w:rFonts w:ascii="Times New Roman" w:cs="Times New Roman" w:eastAsia="Times New Roman" w:hAnsi="Times New Roman"/>
            <w:color w:val="1155cc"/>
            <w:sz w:val="18"/>
            <w:szCs w:val="18"/>
            <w:u w:val="single"/>
            <w:rtl w:val="0"/>
          </w:rPr>
          <w:t xml:space="preserve">https://www.un.org/peacebuilding/commission/mandate</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71">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Security Council Report. 2025. “</w:t>
      </w:r>
      <w:r w:rsidDel="00000000" w:rsidR="00000000" w:rsidRPr="00000000">
        <w:rPr>
          <w:rFonts w:ascii="Times New Roman" w:cs="Times New Roman" w:eastAsia="Times New Roman" w:hAnsi="Times New Roman"/>
          <w:sz w:val="18"/>
          <w:szCs w:val="18"/>
          <w:rtl w:val="0"/>
        </w:rPr>
        <w:t xml:space="preserve">In Hindsight: Moving Towards a Second Era of Application of the Tools of the Children and Armed Conflict Agenda,” Security Council Report, United Nations, </w:t>
      </w:r>
      <w:hyperlink r:id="rId10">
        <w:r w:rsidDel="00000000" w:rsidR="00000000" w:rsidRPr="00000000">
          <w:rPr>
            <w:rFonts w:ascii="Times New Roman" w:cs="Times New Roman" w:eastAsia="Times New Roman" w:hAnsi="Times New Roman"/>
            <w:sz w:val="18"/>
            <w:szCs w:val="18"/>
            <w:rtl w:val="0"/>
          </w:rPr>
          <w:t xml:space="preserve">https://www.securitycouncilreport.org/monthly-forecast/2025-07/in-hindsight-moving-towards-a-second-era-of-application-of-the-tools-of-the-children-in-armed-conflict-agenda.php</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74">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Peacekeeping Operations .n.d “Disarmament, Demobilization, and Reintegration,” UN Peacekeeping, United Nations, </w:t>
      </w:r>
      <w:hyperlink r:id="rId11">
        <w:r w:rsidDel="00000000" w:rsidR="00000000" w:rsidRPr="00000000">
          <w:rPr>
            <w:rFonts w:ascii="Times New Roman" w:cs="Times New Roman" w:eastAsia="Times New Roman" w:hAnsi="Times New Roman"/>
            <w:sz w:val="18"/>
            <w:szCs w:val="18"/>
            <w:rtl w:val="0"/>
          </w:rPr>
          <w:t xml:space="preserve">https://peacekeeping.un.org/en/disarmament-demobilization-and-reintegration</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75">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73">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Sustainable Development Goals. N.d. “Goal 4: Education,” UN,  </w:t>
      </w:r>
      <w:hyperlink r:id="rId12">
        <w:r w:rsidDel="00000000" w:rsidR="00000000" w:rsidRPr="00000000">
          <w:rPr>
            <w:rFonts w:ascii="Times New Roman" w:cs="Times New Roman" w:eastAsia="Times New Roman" w:hAnsi="Times New Roman"/>
            <w:sz w:val="18"/>
            <w:szCs w:val="18"/>
            <w:rtl w:val="0"/>
          </w:rPr>
          <w:t xml:space="preserve">https://www.un.org/sustainabledevelopment/education/</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69">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Security Council. 2025. “In Hindsight: Moving Towards the Second Era of the Application of the Tools of the Children in Armed Conlfict Agenda,” UN Security Council, United Nations, </w:t>
      </w:r>
      <w:hyperlink r:id="rId13">
        <w:r w:rsidDel="00000000" w:rsidR="00000000" w:rsidRPr="00000000">
          <w:rPr>
            <w:rFonts w:ascii="Times New Roman" w:cs="Times New Roman" w:eastAsia="Times New Roman" w:hAnsi="Times New Roman"/>
            <w:sz w:val="18"/>
            <w:szCs w:val="18"/>
            <w:rtl w:val="0"/>
          </w:rPr>
          <w:t xml:space="preserve">https://www.securitycouncilreport.org/monthly-forecast/2025-07/in-hindsight-moving-towards-a-second-era-of-application-of-the-tools-of-the-children-in-armed-conflict-agenda.php</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76">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Secretary-General. 2005. “</w:t>
      </w:r>
      <w:r w:rsidDel="00000000" w:rsidR="00000000" w:rsidRPr="00000000">
        <w:rPr>
          <w:rFonts w:ascii="Times New Roman" w:cs="Times New Roman" w:eastAsia="Times New Roman" w:hAnsi="Times New Roman"/>
          <w:sz w:val="18"/>
          <w:szCs w:val="18"/>
          <w:rtl w:val="0"/>
        </w:rPr>
        <w:t xml:space="preserve">Administrative and budgetary aspects of the financing of the United Nations peacekeeping operations : note / by the Secretary-General,” UN Digital Records, UN Secretary-General, </w:t>
      </w:r>
      <w:hyperlink r:id="rId14">
        <w:r w:rsidDel="00000000" w:rsidR="00000000" w:rsidRPr="00000000">
          <w:rPr>
            <w:rFonts w:ascii="Times New Roman" w:cs="Times New Roman" w:eastAsia="Times New Roman" w:hAnsi="Times New Roman"/>
            <w:sz w:val="18"/>
            <w:szCs w:val="18"/>
            <w:rtl w:val="0"/>
          </w:rPr>
          <w:t xml:space="preserve">https://digitallibrary.un.org/record/549756?v=pdf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77">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Security Council. 2005. “Resolution 1612 (2005),” UN Security Council, United Nations,  </w:t>
      </w:r>
      <w:hyperlink r:id="rId15">
        <w:r w:rsidDel="00000000" w:rsidR="00000000" w:rsidRPr="00000000">
          <w:rPr>
            <w:rFonts w:ascii="Times New Roman" w:cs="Times New Roman" w:eastAsia="Times New Roman" w:hAnsi="Times New Roman"/>
            <w:sz w:val="18"/>
            <w:szCs w:val="18"/>
            <w:rtl w:val="0"/>
          </w:rPr>
          <w:t xml:space="preserve">https://www.securitycouncilreport.org/atf/cf/%7B65BFCF9B-6D27-4E9C-8CD3-CF6E4FF96FF9%7D/CAC%20SRES%201612.pdf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78">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79">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UNDDR. 2022.  “5.20 Children and DDR,” Integrated DDR Standards, UNDDR, </w:t>
      </w:r>
      <w:hyperlink r:id="rId16">
        <w:r w:rsidDel="00000000" w:rsidR="00000000" w:rsidRPr="00000000">
          <w:rPr>
            <w:rFonts w:ascii="Times New Roman" w:cs="Times New Roman" w:eastAsia="Times New Roman" w:hAnsi="Times New Roman"/>
            <w:sz w:val="18"/>
            <w:szCs w:val="18"/>
            <w:rtl w:val="0"/>
          </w:rPr>
          <w:t xml:space="preserve">https://www.unddr.org/wp-content/uploads/2022/01/IDDRS-5.20-Children-and-DDR.pdf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68">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Peacekeeping Operations. 2010. “DDR in Peace Operations a Retrospective,” UN Peacekeeping, United Nations, </w:t>
      </w:r>
      <w:hyperlink r:id="rId17">
        <w:r w:rsidDel="00000000" w:rsidR="00000000" w:rsidRPr="00000000">
          <w:rPr>
            <w:rFonts w:ascii="Times New Roman" w:cs="Times New Roman" w:eastAsia="Times New Roman" w:hAnsi="Times New Roman"/>
            <w:sz w:val="18"/>
            <w:szCs w:val="18"/>
            <w:rtl w:val="0"/>
          </w:rPr>
          <w:t xml:space="preserve">https://peacekeeping.un.org/en/disarmament-demobilization-and-reintegration</w:t>
        </w:r>
      </w:hyperlink>
      <w:r w:rsidDel="00000000" w:rsidR="00000000" w:rsidRPr="00000000">
        <w:rPr>
          <w:rFonts w:ascii="Times New Roman" w:cs="Times New Roman" w:eastAsia="Times New Roman" w:hAnsi="Times New Roman"/>
          <w:sz w:val="18"/>
          <w:szCs w:val="18"/>
          <w:rtl w:val="0"/>
        </w:rPr>
        <w:t xml:space="preserve">. </w:t>
      </w:r>
    </w:p>
  </w:footnote>
  <w:footnote w:id="82">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Peacekeeping Operations. 2010. “DDR in Peace Operations a Retrospective,” UN Peacekeeping, United Nations, </w:t>
      </w:r>
      <w:hyperlink r:id="rId18">
        <w:r w:rsidDel="00000000" w:rsidR="00000000" w:rsidRPr="00000000">
          <w:rPr>
            <w:rFonts w:ascii="Times New Roman" w:cs="Times New Roman" w:eastAsia="Times New Roman" w:hAnsi="Times New Roman"/>
            <w:sz w:val="18"/>
            <w:szCs w:val="18"/>
            <w:rtl w:val="0"/>
          </w:rPr>
          <w:t xml:space="preserve">https://peacekeeping.un.org/en/disarmament-demobilization-and-reintegration</w:t>
        </w:r>
      </w:hyperlink>
      <w:r w:rsidDel="00000000" w:rsidR="00000000" w:rsidRPr="00000000">
        <w:rPr>
          <w:rFonts w:ascii="Times New Roman" w:cs="Times New Roman" w:eastAsia="Times New Roman" w:hAnsi="Times New Roman"/>
          <w:sz w:val="18"/>
          <w:szCs w:val="18"/>
          <w:rtl w:val="0"/>
        </w:rPr>
        <w:t xml:space="preserve">. </w:t>
      </w:r>
    </w:p>
  </w:footnote>
  <w:footnote w:id="67">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UNDDR. 2025. “The DDR Bulletin,” Integrated DDR Standards, UNDDR, </w:t>
      </w:r>
      <w:hyperlink r:id="rId19">
        <w:r w:rsidDel="00000000" w:rsidR="00000000" w:rsidRPr="00000000">
          <w:rPr>
            <w:rFonts w:ascii="Times New Roman" w:cs="Times New Roman" w:eastAsia="Times New Roman" w:hAnsi="Times New Roman"/>
            <w:sz w:val="18"/>
            <w:szCs w:val="18"/>
            <w:rtl w:val="0"/>
          </w:rPr>
          <w:t xml:space="preserve">https://www.unddr.org/the-ddr-bulletin/the-ddr-bulletin-issue-2-2025</w:t>
        </w:r>
      </w:hyperlink>
      <w:hyperlink r:id="rId20">
        <w:r w:rsidDel="00000000" w:rsidR="00000000" w:rsidRPr="00000000">
          <w:rPr>
            <w:rFonts w:ascii="Times New Roman" w:cs="Times New Roman" w:eastAsia="Times New Roman" w:hAnsi="Times New Roman"/>
            <w:sz w:val="18"/>
            <w:szCs w:val="18"/>
            <w:rtl w:val="0"/>
          </w:rPr>
          <w:t xml:space="preserve">/</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81">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UNDDR. 2025. “The DDR Bulletin,” Integrated DDR Standards, UNDDR, </w:t>
      </w:r>
      <w:r w:rsidDel="00000000" w:rsidR="00000000" w:rsidRPr="00000000">
        <w:rPr>
          <w:rFonts w:ascii="Times New Roman" w:cs="Times New Roman" w:eastAsia="Times New Roman" w:hAnsi="Times New Roman"/>
          <w:sz w:val="18"/>
          <w:szCs w:val="18"/>
          <w:rtl w:val="0"/>
        </w:rPr>
        <w:t xml:space="preserve">h</w:t>
      </w:r>
      <w:hyperlink r:id="rId21">
        <w:r w:rsidDel="00000000" w:rsidR="00000000" w:rsidRPr="00000000">
          <w:rPr>
            <w:rFonts w:ascii="Times New Roman" w:cs="Times New Roman" w:eastAsia="Times New Roman" w:hAnsi="Times New Roman"/>
            <w:sz w:val="18"/>
            <w:szCs w:val="18"/>
            <w:rtl w:val="0"/>
          </w:rPr>
          <w:t xml:space="preserve">ttps://www.unddr.org/the-ddr-bulletin/the-ddr-bulletin-issue-2-2025/</w:t>
        </w:r>
      </w:hyperlink>
      <w:r w:rsidDel="00000000" w:rsidR="00000000" w:rsidRPr="00000000">
        <w:rPr>
          <w:rFonts w:ascii="Times New Roman" w:cs="Times New Roman" w:eastAsia="Times New Roman" w:hAnsi="Times New Roman"/>
          <w:sz w:val="18"/>
          <w:szCs w:val="18"/>
          <w:rtl w:val="0"/>
        </w:rPr>
        <w:t xml:space="preserve">. </w:t>
      </w:r>
    </w:p>
  </w:footnote>
  <w:footnote w:id="85">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Office on the Special Representative and Secretary-General for Children and Armed Conlfict. N.d. “Global Coalition for the Reintegration of Child Soldiers,” United Nations, </w:t>
      </w:r>
      <w:hyperlink r:id="rId22">
        <w:r w:rsidDel="00000000" w:rsidR="00000000" w:rsidRPr="00000000">
          <w:rPr>
            <w:rFonts w:ascii="Times New Roman" w:cs="Times New Roman" w:eastAsia="Times New Roman" w:hAnsi="Times New Roman"/>
            <w:sz w:val="18"/>
            <w:szCs w:val="18"/>
            <w:rtl w:val="0"/>
          </w:rPr>
          <w:t xml:space="preserve">https://childrenandarmedconflict.un.org/global-coalition-for-reintegration-of-child-soldiers/</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86">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UNDDR. “The DDR Bulletin,” Integrated DDR Standards, UNDDR, 2025, </w:t>
      </w:r>
      <w:r w:rsidDel="00000000" w:rsidR="00000000" w:rsidRPr="00000000">
        <w:rPr>
          <w:rFonts w:ascii="Times New Roman" w:cs="Times New Roman" w:eastAsia="Times New Roman" w:hAnsi="Times New Roman"/>
          <w:sz w:val="18"/>
          <w:szCs w:val="18"/>
          <w:rtl w:val="0"/>
        </w:rPr>
        <w:t xml:space="preserve">h</w:t>
      </w:r>
      <w:hyperlink r:id="rId23">
        <w:r w:rsidDel="00000000" w:rsidR="00000000" w:rsidRPr="00000000">
          <w:rPr>
            <w:rFonts w:ascii="Times New Roman" w:cs="Times New Roman" w:eastAsia="Times New Roman" w:hAnsi="Times New Roman"/>
            <w:sz w:val="18"/>
            <w:szCs w:val="18"/>
            <w:rtl w:val="0"/>
          </w:rPr>
          <w:t xml:space="preserve">ttps://www.unddr.org/the-ddr-bulletin/the-ddr-bulletin-issue-2-2025/</w:t>
        </w:r>
      </w:hyperlink>
      <w:r w:rsidDel="00000000" w:rsidR="00000000" w:rsidRPr="00000000">
        <w:rPr>
          <w:rFonts w:ascii="Times New Roman" w:cs="Times New Roman" w:eastAsia="Times New Roman" w:hAnsi="Times New Roman"/>
          <w:sz w:val="18"/>
          <w:szCs w:val="18"/>
          <w:rtl w:val="0"/>
        </w:rPr>
        <w:t xml:space="preserve">. </w:t>
      </w:r>
    </w:p>
  </w:footnote>
  <w:footnote w:id="80">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Council.2006.  “S/RES/1698 (2006),” Security Council, UN, </w:t>
      </w:r>
      <w:hyperlink r:id="rId24">
        <w:r w:rsidDel="00000000" w:rsidR="00000000" w:rsidRPr="00000000">
          <w:rPr>
            <w:rFonts w:ascii="Times New Roman" w:cs="Times New Roman" w:eastAsia="Times New Roman" w:hAnsi="Times New Roman"/>
            <w:sz w:val="18"/>
            <w:szCs w:val="18"/>
            <w:rtl w:val="0"/>
          </w:rPr>
          <w:t xml:space="preserve">https://www.securitycouncilreport.org/atf/cf/%7B65BFCF9B-6D27-4E9C-8CD3-CF6E4FF96FF9%7D/CAC%20SRES%201698.pdf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footnote>
  <w:footnote w:id="87">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“S/RES/2764 (2024),” Security Council, UN, 2024, </w:t>
      </w:r>
      <w:hyperlink r:id="rId25">
        <w:r w:rsidDel="00000000" w:rsidR="00000000" w:rsidRPr="00000000">
          <w:rPr>
            <w:rFonts w:ascii="Times New Roman" w:cs="Times New Roman" w:eastAsia="Times New Roman" w:hAnsi="Times New Roman"/>
            <w:sz w:val="18"/>
            <w:szCs w:val="18"/>
            <w:rtl w:val="0"/>
          </w:rPr>
          <w:t xml:space="preserve">https://digitallibrary.un.org/record/4069987?ln=en&amp;v=pdf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83">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84">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2">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Peacebuilding Commission. 2023. “United Nations Peacebuilding Commission Brochure,” PBC, United Nations, </w:t>
      </w:r>
      <w:hyperlink r:id="rId26">
        <w:r w:rsidDel="00000000" w:rsidR="00000000" w:rsidRPr="00000000">
          <w:rPr>
            <w:rFonts w:ascii="Times New Roman" w:cs="Times New Roman" w:eastAsia="Times New Roman" w:hAnsi="Times New Roman"/>
            <w:sz w:val="18"/>
            <w:szCs w:val="18"/>
            <w:rtl w:val="0"/>
          </w:rPr>
          <w:t xml:space="preserve">https://www.un.org/peacebuilding/sites/www.un.org.peacebuilding/files/documents/pbc_brochure_eng_2023.pdf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5">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Peacebuilding Commission.n.d. “Memebership,” Peacebuilding Commission, United Nations, </w:t>
      </w:r>
      <w:hyperlink r:id="rId27">
        <w:r w:rsidDel="00000000" w:rsidR="00000000" w:rsidRPr="00000000">
          <w:rPr>
            <w:rFonts w:ascii="Times New Roman" w:cs="Times New Roman" w:eastAsia="Times New Roman" w:hAnsi="Times New Roman"/>
            <w:sz w:val="18"/>
            <w:szCs w:val="18"/>
            <w:rtl w:val="0"/>
          </w:rPr>
          <w:t xml:space="preserve">https://www.un.org/peacebuilding/commission/membership</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1">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Ibid.</w:t>
      </w:r>
    </w:p>
  </w:footnote>
  <w:footnote w:id="4">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Ibid.</w:t>
      </w:r>
    </w:p>
  </w:footnote>
  <w:footnote w:id="6">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General Assembly. 2005. “Resolution 60/180 (2005),” General Assembly, United Nations, </w:t>
      </w:r>
      <w:hyperlink r:id="rId28">
        <w:r w:rsidDel="00000000" w:rsidR="00000000" w:rsidRPr="00000000">
          <w:rPr>
            <w:rFonts w:ascii="Times New Roman" w:cs="Times New Roman" w:eastAsia="Times New Roman" w:hAnsi="Times New Roman"/>
            <w:sz w:val="18"/>
            <w:szCs w:val="18"/>
            <w:rtl w:val="0"/>
          </w:rPr>
          <w:t xml:space="preserve">https://docs.un.org/A/RES/60/180</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7">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Peacebuilding Commission. “Membership,” Peacebuilding Commission, United Nations, </w:t>
      </w:r>
      <w:hyperlink r:id="rId29">
        <w:r w:rsidDel="00000000" w:rsidR="00000000" w:rsidRPr="00000000">
          <w:rPr>
            <w:rFonts w:ascii="Times New Roman" w:cs="Times New Roman" w:eastAsia="Times New Roman" w:hAnsi="Times New Roman"/>
            <w:sz w:val="18"/>
            <w:szCs w:val="18"/>
            <w:rtl w:val="0"/>
          </w:rPr>
          <w:t xml:space="preserve">https://www.un.org/peacebuilding/commission/membership</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8">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Ibid.</w:t>
      </w:r>
    </w:p>
  </w:footnote>
  <w:footnote w:id="10">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Ibid.</w:t>
      </w:r>
    </w:p>
  </w:footnote>
  <w:footnote w:id="11">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Ibid.</w:t>
      </w:r>
    </w:p>
  </w:footnote>
  <w:footnote w:id="12">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Peacebuilding Commission.n.d. “The Peacebuilding Fund,” Peacebuilding Commission, United Nations, </w:t>
      </w:r>
      <w:hyperlink r:id="rId30">
        <w:r w:rsidDel="00000000" w:rsidR="00000000" w:rsidRPr="00000000">
          <w:rPr>
            <w:rFonts w:ascii="Times New Roman" w:cs="Times New Roman" w:eastAsia="Times New Roman" w:hAnsi="Times New Roman"/>
            <w:sz w:val="18"/>
            <w:szCs w:val="18"/>
            <w:rtl w:val="0"/>
          </w:rPr>
          <w:t xml:space="preserve">https://www.un.org/peacebuilding/content/fund</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13">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5">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Peacebuilding Support Office. N.d. “United Nations Peacebuilding Support Office,” PeaceNexus, United Nations, </w:t>
      </w:r>
      <w:hyperlink r:id="rId31">
        <w:r w:rsidDel="00000000" w:rsidR="00000000" w:rsidRPr="00000000">
          <w:rPr>
            <w:rFonts w:ascii="Times New Roman" w:cs="Times New Roman" w:eastAsia="Times New Roman" w:hAnsi="Times New Roman"/>
            <w:sz w:val="18"/>
            <w:szCs w:val="18"/>
            <w:rtl w:val="0"/>
          </w:rPr>
          <w:t xml:space="preserve">https://peacenexus.org/partnership/united-nations-peacebuilding-support-office/</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16">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Ibid.</w:t>
      </w:r>
    </w:p>
  </w:footnote>
  <w:footnote w:id="14">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Peacebuilding Commission. 2025. “Ambassadorial-level 1 st Annual Strategic Dialogue on the Secretary-General's Peacebuilding Fund,” UN Peacebuilding Commission, United Nations,  </w:t>
      </w:r>
      <w:hyperlink r:id="rId32">
        <w:r w:rsidDel="00000000" w:rsidR="00000000" w:rsidRPr="00000000">
          <w:rPr>
            <w:rFonts w:ascii="Times New Roman" w:cs="Times New Roman" w:eastAsia="Times New Roman" w:hAnsi="Times New Roman"/>
            <w:sz w:val="18"/>
            <w:szCs w:val="18"/>
            <w:rtl w:val="0"/>
          </w:rPr>
          <w:t xml:space="preserve">https://www.un.org/peacebuilding/sites/www.un.org.peacebuilding/files/documents/chairs_summary_pbc-pbf_strategic_dialogue.pdf</w:t>
        </w:r>
      </w:hyperlink>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p>
  </w:footnote>
  <w:footnote w:id="22">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2024. “OHCHR | OHCHR: Transitional Justice and Human Rights.” OHCHR. 2024. </w:t>
      </w:r>
      <w:hyperlink r:id="rId33">
        <w:r w:rsidDel="00000000" w:rsidR="00000000" w:rsidRPr="00000000">
          <w:rPr>
            <w:rFonts w:ascii="Times New Roman" w:cs="Times New Roman" w:eastAsia="Times New Roman" w:hAnsi="Times New Roman"/>
            <w:sz w:val="18"/>
            <w:szCs w:val="18"/>
            <w:rtl w:val="0"/>
          </w:rPr>
          <w:t xml:space="preserve">https://www.ohchr.org/en/transitional-justice</w:t>
        </w:r>
      </w:hyperlink>
      <w:r w:rsidDel="00000000" w:rsidR="00000000" w:rsidRPr="00000000">
        <w:rPr>
          <w:rFonts w:ascii="Times New Roman" w:cs="Times New Roman" w:eastAsia="Times New Roman" w:hAnsi="Times New Roman"/>
          <w:sz w:val="18"/>
          <w:szCs w:val="18"/>
          <w:rtl w:val="0"/>
        </w:rPr>
        <w:t xml:space="preserve">. </w:t>
      </w:r>
    </w:p>
  </w:footnote>
  <w:footnote w:id="20">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1948. “Universal Declaration of Human Rights.” United Nations. December 10, 1948. </w:t>
      </w:r>
      <w:hyperlink r:id="rId34">
        <w:r w:rsidDel="00000000" w:rsidR="00000000" w:rsidRPr="00000000">
          <w:rPr>
            <w:rFonts w:ascii="Times New Roman" w:cs="Times New Roman" w:eastAsia="Times New Roman" w:hAnsi="Times New Roman"/>
            <w:sz w:val="18"/>
            <w:szCs w:val="18"/>
            <w:rtl w:val="0"/>
          </w:rPr>
          <w:t xml:space="preserve">https://www.un.org/en/about-us/universal-declaration-of-human-rights</w:t>
        </w:r>
      </w:hyperlink>
      <w:r w:rsidDel="00000000" w:rsidR="00000000" w:rsidRPr="00000000">
        <w:rPr>
          <w:rFonts w:ascii="Times New Roman" w:cs="Times New Roman" w:eastAsia="Times New Roman" w:hAnsi="Times New Roman"/>
          <w:sz w:val="18"/>
          <w:szCs w:val="18"/>
          <w:rtl w:val="0"/>
        </w:rPr>
        <w:t xml:space="preserve">. </w:t>
      </w:r>
    </w:p>
  </w:footnote>
  <w:footnote w:id="21">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7">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Hindsight, In. 2025. “In Hindsight: The 2025 Peacebuilding Review.” Security Council Report. 2025. https://www.securitycouncilreport.org/monthly-forecast/2025-02/in-hindsight-the-2025-peacebuilding-review.php.</w:t>
      </w:r>
    </w:p>
  </w:footnote>
  <w:footnote w:id="18">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9">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23">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2015. “What Is the Rule of Law?” United Nations and the Rule of Law. 2015. </w:t>
      </w:r>
      <w:hyperlink r:id="rId35">
        <w:r w:rsidDel="00000000" w:rsidR="00000000" w:rsidRPr="00000000">
          <w:rPr>
            <w:rFonts w:ascii="Times New Roman" w:cs="Times New Roman" w:eastAsia="Times New Roman" w:hAnsi="Times New Roman"/>
            <w:sz w:val="18"/>
            <w:szCs w:val="18"/>
            <w:rtl w:val="0"/>
          </w:rPr>
          <w:t xml:space="preserve">https://www.un.org/ruleoflaw/what-is-the-rule-of-law/</w:t>
        </w:r>
      </w:hyperlink>
      <w:r w:rsidDel="00000000" w:rsidR="00000000" w:rsidRPr="00000000">
        <w:rPr>
          <w:rFonts w:ascii="Times New Roman" w:cs="Times New Roman" w:eastAsia="Times New Roman" w:hAnsi="Times New Roman"/>
          <w:sz w:val="18"/>
          <w:szCs w:val="18"/>
          <w:rtl w:val="0"/>
        </w:rPr>
        <w:t xml:space="preserve">. </w:t>
      </w:r>
    </w:p>
  </w:footnote>
  <w:footnote w:id="24">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25">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International Institutions and Global Governance Program. 2012. “The Global Human Rights Regime.” </w:t>
      </w:r>
      <w:r w:rsidDel="00000000" w:rsidR="00000000" w:rsidRPr="00000000">
        <w:rPr>
          <w:rFonts w:ascii="Times New Roman" w:cs="Times New Roman" w:eastAsia="Times New Roman" w:hAnsi="Times New Roman"/>
          <w:sz w:val="18"/>
          <w:szCs w:val="18"/>
          <w:rtl w:val="0"/>
        </w:rPr>
        <w:t xml:space="preserve">Council on Foreign Relations</w:t>
      </w:r>
      <w:r w:rsidDel="00000000" w:rsidR="00000000" w:rsidRPr="00000000">
        <w:rPr>
          <w:rFonts w:ascii="Times New Roman" w:cs="Times New Roman" w:eastAsia="Times New Roman" w:hAnsi="Times New Roman"/>
          <w:sz w:val="18"/>
          <w:szCs w:val="18"/>
          <w:rtl w:val="0"/>
        </w:rPr>
        <w:t xml:space="preserve">. Global Governance Monitor. </w:t>
      </w:r>
      <w:hyperlink r:id="rId36">
        <w:r w:rsidDel="00000000" w:rsidR="00000000" w:rsidRPr="00000000">
          <w:rPr>
            <w:rFonts w:ascii="Times New Roman" w:cs="Times New Roman" w:eastAsia="Times New Roman" w:hAnsi="Times New Roman"/>
            <w:sz w:val="18"/>
            <w:szCs w:val="18"/>
            <w:rtl w:val="0"/>
          </w:rPr>
          <w:t xml:space="preserve">https://www.cfr.org/report/global-human-rights-regime</w:t>
        </w:r>
      </w:hyperlink>
      <w:r w:rsidDel="00000000" w:rsidR="00000000" w:rsidRPr="00000000">
        <w:rPr>
          <w:rFonts w:ascii="Times New Roman" w:cs="Times New Roman" w:eastAsia="Times New Roman" w:hAnsi="Times New Roman"/>
          <w:sz w:val="18"/>
          <w:szCs w:val="18"/>
          <w:rtl w:val="0"/>
        </w:rPr>
        <w:t xml:space="preserve">. </w:t>
      </w:r>
    </w:p>
  </w:footnote>
  <w:footnote w:id="29">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Office of the Historian. 2019. “The Nuremberg Trial and the Tokyo War Crimes Trials (1945–1948).” State.gov. Office of The Historian. 2019. </w:t>
      </w:r>
      <w:hyperlink r:id="rId37">
        <w:r w:rsidDel="00000000" w:rsidR="00000000" w:rsidRPr="00000000">
          <w:rPr>
            <w:rFonts w:ascii="Times New Roman" w:cs="Times New Roman" w:eastAsia="Times New Roman" w:hAnsi="Times New Roman"/>
            <w:sz w:val="18"/>
            <w:szCs w:val="18"/>
            <w:rtl w:val="0"/>
          </w:rPr>
          <w:t xml:space="preserve">https://history.state.gov/milestones/1945-1952/nuremberg</w:t>
        </w:r>
      </w:hyperlink>
      <w:r w:rsidDel="00000000" w:rsidR="00000000" w:rsidRPr="00000000">
        <w:rPr>
          <w:rFonts w:ascii="Times New Roman" w:cs="Times New Roman" w:eastAsia="Times New Roman" w:hAnsi="Times New Roman"/>
          <w:sz w:val="18"/>
          <w:szCs w:val="18"/>
          <w:rtl w:val="0"/>
        </w:rPr>
        <w:t xml:space="preserve">. </w:t>
      </w:r>
    </w:p>
  </w:footnote>
  <w:footnote w:id="30">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1">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Council of Europe. 1950. “European Convention on Human Rights.” </w:t>
      </w:r>
      <w:hyperlink r:id="rId38">
        <w:r w:rsidDel="00000000" w:rsidR="00000000" w:rsidRPr="00000000">
          <w:rPr>
            <w:rFonts w:ascii="Times New Roman" w:cs="Times New Roman" w:eastAsia="Times New Roman" w:hAnsi="Times New Roman"/>
            <w:sz w:val="18"/>
            <w:szCs w:val="18"/>
            <w:rtl w:val="0"/>
          </w:rPr>
          <w:t xml:space="preserve">https://www.echr.coe.int/documents/d/echr/Convention_ENG</w:t>
        </w:r>
      </w:hyperlink>
      <w:r w:rsidDel="00000000" w:rsidR="00000000" w:rsidRPr="00000000">
        <w:rPr>
          <w:rFonts w:ascii="Times New Roman" w:cs="Times New Roman" w:eastAsia="Times New Roman" w:hAnsi="Times New Roman"/>
          <w:sz w:val="18"/>
          <w:szCs w:val="18"/>
          <w:rtl w:val="0"/>
        </w:rPr>
        <w:t xml:space="preserve">. </w:t>
      </w:r>
    </w:p>
  </w:footnote>
  <w:footnote w:id="49">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General Assembly, Resolution 217A (III), Universal Declaration of Human Rights, A/RES/217(III) (December 10, 1948), </w:t>
      </w:r>
      <w:hyperlink r:id="rId39">
        <w:r w:rsidDel="00000000" w:rsidR="00000000" w:rsidRPr="00000000">
          <w:rPr>
            <w:rFonts w:ascii="Times New Roman" w:cs="Times New Roman" w:eastAsia="Times New Roman" w:hAnsi="Times New Roman"/>
            <w:sz w:val="18"/>
            <w:szCs w:val="18"/>
            <w:rtl w:val="0"/>
          </w:rPr>
          <w:t xml:space="preserve">https://​www​.un​.org​/en​/about-us​/universal-declaration-of-human-rights</w:t>
        </w:r>
      </w:hyperlink>
      <w:r w:rsidDel="00000000" w:rsidR="00000000" w:rsidRPr="00000000">
        <w:rPr>
          <w:rFonts w:ascii="Times New Roman" w:cs="Times New Roman" w:eastAsia="Times New Roman" w:hAnsi="Times New Roman"/>
          <w:sz w:val="18"/>
          <w:szCs w:val="18"/>
          <w:rtl w:val="0"/>
        </w:rPr>
        <w:t xml:space="preserve">.    </w:t>
      </w:r>
    </w:p>
  </w:footnote>
  <w:footnote w:id="28">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Encyclopedia Britannica. 2025. “Abolitionism - Southern Defense of the ‘Peculiar Institution.’” Encyclopedia Britannica. April 25, 2025. </w:t>
      </w:r>
      <w:hyperlink r:id="rId40">
        <w:r w:rsidDel="00000000" w:rsidR="00000000" w:rsidRPr="00000000">
          <w:rPr>
            <w:rFonts w:ascii="Times New Roman" w:cs="Times New Roman" w:eastAsia="Times New Roman" w:hAnsi="Times New Roman"/>
            <w:sz w:val="18"/>
            <w:szCs w:val="18"/>
            <w:rtl w:val="0"/>
          </w:rPr>
          <w:t xml:space="preserve">https://www.britannica.com/topic/abolitionism-European-and-American-social-movement/Southern-defense-of-the-peculiar-institution</w:t>
        </w:r>
      </w:hyperlink>
      <w:r w:rsidDel="00000000" w:rsidR="00000000" w:rsidRPr="00000000">
        <w:rPr>
          <w:rFonts w:ascii="Times New Roman" w:cs="Times New Roman" w:eastAsia="Times New Roman" w:hAnsi="Times New Roman"/>
          <w:sz w:val="18"/>
          <w:szCs w:val="18"/>
          <w:rtl w:val="0"/>
        </w:rPr>
        <w:t xml:space="preserve">. </w:t>
      </w:r>
    </w:p>
  </w:footnote>
  <w:footnote w:id="32">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Council on Foreign Relations. 2020. “Excerpt: The World and Yugoslavia’s Wars.” Council on Foreign Relations. 2020. </w:t>
      </w:r>
      <w:hyperlink r:id="rId41">
        <w:r w:rsidDel="00000000" w:rsidR="00000000" w:rsidRPr="00000000">
          <w:rPr>
            <w:rFonts w:ascii="Times New Roman" w:cs="Times New Roman" w:eastAsia="Times New Roman" w:hAnsi="Times New Roman"/>
            <w:sz w:val="18"/>
            <w:szCs w:val="18"/>
            <w:rtl w:val="0"/>
          </w:rPr>
          <w:t xml:space="preserve">https://www.cfr.org/excerpt-world-and-yugoslavias-wars</w:t>
        </w:r>
      </w:hyperlink>
      <w:r w:rsidDel="00000000" w:rsidR="00000000" w:rsidRPr="00000000">
        <w:rPr>
          <w:rFonts w:ascii="Times New Roman" w:cs="Times New Roman" w:eastAsia="Times New Roman" w:hAnsi="Times New Roman"/>
          <w:sz w:val="18"/>
          <w:szCs w:val="18"/>
          <w:rtl w:val="0"/>
        </w:rPr>
        <w:t xml:space="preserve">. </w:t>
      </w:r>
    </w:p>
  </w:footnote>
  <w:footnote w:id="36">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Smith, R. Jeffrey. 2024. “Srebrenica Genocide | Facts, History, Map, &amp; Photos | Britannica.” In </w:t>
      </w:r>
      <w:r w:rsidDel="00000000" w:rsidR="00000000" w:rsidRPr="00000000">
        <w:rPr>
          <w:rFonts w:ascii="Times New Roman" w:cs="Times New Roman" w:eastAsia="Times New Roman" w:hAnsi="Times New Roman"/>
          <w:sz w:val="18"/>
          <w:szCs w:val="18"/>
          <w:rtl w:val="0"/>
        </w:rPr>
        <w:t xml:space="preserve">Encyclopædia Britannica</w:t>
      </w:r>
      <w:r w:rsidDel="00000000" w:rsidR="00000000" w:rsidRPr="00000000">
        <w:rPr>
          <w:rFonts w:ascii="Times New Roman" w:cs="Times New Roman" w:eastAsia="Times New Roman" w:hAnsi="Times New Roman"/>
          <w:sz w:val="18"/>
          <w:szCs w:val="18"/>
          <w:rtl w:val="0"/>
        </w:rPr>
        <w:t xml:space="preserve">. </w:t>
      </w:r>
      <w:hyperlink r:id="rId42">
        <w:r w:rsidDel="00000000" w:rsidR="00000000" w:rsidRPr="00000000">
          <w:rPr>
            <w:rFonts w:ascii="Times New Roman" w:cs="Times New Roman" w:eastAsia="Times New Roman" w:hAnsi="Times New Roman"/>
            <w:sz w:val="18"/>
            <w:szCs w:val="18"/>
            <w:rtl w:val="0"/>
          </w:rPr>
          <w:t xml:space="preserve">https://www.britannica.com/event/Srebrenica-genocide</w:t>
        </w:r>
      </w:hyperlink>
      <w:r w:rsidDel="00000000" w:rsidR="00000000" w:rsidRPr="00000000">
        <w:rPr>
          <w:rFonts w:ascii="Times New Roman" w:cs="Times New Roman" w:eastAsia="Times New Roman" w:hAnsi="Times New Roman"/>
          <w:sz w:val="18"/>
          <w:szCs w:val="18"/>
          <w:rtl w:val="0"/>
        </w:rPr>
        <w:t xml:space="preserve">. </w:t>
      </w:r>
    </w:p>
  </w:footnote>
  <w:footnote w:id="33">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ICTY. 2017. “About the ICTY | International Criminal Tribunal for the Former Yugoslavia.” Icty.org. 2017. https://www.icty.org/en/about.</w:t>
      </w:r>
    </w:p>
  </w:footnote>
  <w:footnote w:id="34">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5">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Lampe, John R. 2019. “Bosnian War.” In </w:t>
      </w:r>
      <w:r w:rsidDel="00000000" w:rsidR="00000000" w:rsidRPr="00000000">
        <w:rPr>
          <w:rFonts w:ascii="Times New Roman" w:cs="Times New Roman" w:eastAsia="Times New Roman" w:hAnsi="Times New Roman"/>
          <w:sz w:val="18"/>
          <w:szCs w:val="18"/>
          <w:rtl w:val="0"/>
        </w:rPr>
        <w:t xml:space="preserve">Encyclopædia Britannica</w:t>
      </w:r>
      <w:r w:rsidDel="00000000" w:rsidR="00000000" w:rsidRPr="00000000">
        <w:rPr>
          <w:rFonts w:ascii="Times New Roman" w:cs="Times New Roman" w:eastAsia="Times New Roman" w:hAnsi="Times New Roman"/>
          <w:sz w:val="18"/>
          <w:szCs w:val="18"/>
          <w:rtl w:val="0"/>
        </w:rPr>
        <w:t xml:space="preserve">. https://www.britannica.com/event/Bosnian-War.</w:t>
      </w:r>
    </w:p>
  </w:footnote>
  <w:footnote w:id="37">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Britannica. 2019. “Dayton Accords | International Agreement.” In </w:t>
      </w:r>
      <w:r w:rsidDel="00000000" w:rsidR="00000000" w:rsidRPr="00000000">
        <w:rPr>
          <w:rFonts w:ascii="Times New Roman" w:cs="Times New Roman" w:eastAsia="Times New Roman" w:hAnsi="Times New Roman"/>
          <w:sz w:val="18"/>
          <w:szCs w:val="18"/>
          <w:rtl w:val="0"/>
        </w:rPr>
        <w:t xml:space="preserve">Encyclopædia Britannica</w:t>
      </w:r>
      <w:r w:rsidDel="00000000" w:rsidR="00000000" w:rsidRPr="00000000">
        <w:rPr>
          <w:rFonts w:ascii="Times New Roman" w:cs="Times New Roman" w:eastAsia="Times New Roman" w:hAnsi="Times New Roman"/>
          <w:sz w:val="18"/>
          <w:szCs w:val="18"/>
          <w:rtl w:val="0"/>
        </w:rPr>
        <w:t xml:space="preserve">. https://www.britannica.com/event/Dayton-Accords.</w:t>
      </w:r>
    </w:p>
  </w:footnote>
  <w:footnote w:id="38">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2015a. “The Genocide | United Nations International Criminal Tribunal for Rwanda.” Irmct.org. United Nations. 2015. https://unictr.irmct.org/en/genocide.</w:t>
      </w:r>
    </w:p>
  </w:footnote>
  <w:footnote w:id="40">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Hassan, Tirana. 2025. “2024: A Year of Reckoning.” </w:t>
      </w:r>
      <w:r w:rsidDel="00000000" w:rsidR="00000000" w:rsidRPr="00000000">
        <w:rPr>
          <w:rFonts w:ascii="Times New Roman" w:cs="Times New Roman" w:eastAsia="Times New Roman" w:hAnsi="Times New Roman"/>
          <w:sz w:val="18"/>
          <w:szCs w:val="18"/>
          <w:rtl w:val="0"/>
        </w:rPr>
        <w:t xml:space="preserve">Human Rights Watch</w:t>
      </w:r>
      <w:r w:rsidDel="00000000" w:rsidR="00000000" w:rsidRPr="00000000">
        <w:rPr>
          <w:rFonts w:ascii="Times New Roman" w:cs="Times New Roman" w:eastAsia="Times New Roman" w:hAnsi="Times New Roman"/>
          <w:sz w:val="18"/>
          <w:szCs w:val="18"/>
          <w:rtl w:val="0"/>
        </w:rPr>
        <w:t xml:space="preserve">. https://www.hrw.org/world-report/2025.</w:t>
      </w:r>
    </w:p>
  </w:footnote>
  <w:footnote w:id="41">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2">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3">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4">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2020. “A New Era of Conflict and Violence.” United Nations. 2020. </w:t>
      </w:r>
      <w:hyperlink r:id="rId43">
        <w:r w:rsidDel="00000000" w:rsidR="00000000" w:rsidRPr="00000000">
          <w:rPr>
            <w:rFonts w:ascii="Times New Roman" w:cs="Times New Roman" w:eastAsia="Times New Roman" w:hAnsi="Times New Roman"/>
            <w:sz w:val="18"/>
            <w:szCs w:val="18"/>
            <w:rtl w:val="0"/>
          </w:rPr>
          <w:t xml:space="preserve">https://www.un.org/en/un75/new-era-conflict-and-violence</w:t>
        </w:r>
      </w:hyperlink>
      <w:r w:rsidDel="00000000" w:rsidR="00000000" w:rsidRPr="00000000">
        <w:rPr>
          <w:rFonts w:ascii="Times New Roman" w:cs="Times New Roman" w:eastAsia="Times New Roman" w:hAnsi="Times New Roman"/>
          <w:sz w:val="18"/>
          <w:szCs w:val="18"/>
          <w:rtl w:val="0"/>
        </w:rPr>
        <w:t xml:space="preserve">. </w:t>
      </w:r>
    </w:p>
  </w:footnote>
  <w:footnote w:id="45">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Amnesty International. 2023. “International Systems Unfit to Deal with Global Crises.” Amnesty International. March 27, 2023. https://www.amnesty.org/en/latest/news/2023/03/international-system-unfit-to-deal-with-global-crises-annual-report-2022/.</w:t>
      </w:r>
    </w:p>
  </w:footnote>
  <w:footnote w:id="46">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Engelke, Peter , Anca Agachi, and Imran Bayoumi. 2023. “The Future of Multilateral Peacebuilding and Conflict Prevention.” </w:t>
      </w:r>
      <w:r w:rsidDel="00000000" w:rsidR="00000000" w:rsidRPr="00000000">
        <w:rPr>
          <w:rFonts w:ascii="Times New Roman" w:cs="Times New Roman" w:eastAsia="Times New Roman" w:hAnsi="Times New Roman"/>
          <w:sz w:val="18"/>
          <w:szCs w:val="18"/>
          <w:rtl w:val="0"/>
        </w:rPr>
        <w:t xml:space="preserve">Atlantic Council</w:t>
      </w:r>
      <w:r w:rsidDel="00000000" w:rsidR="00000000" w:rsidRPr="00000000">
        <w:rPr>
          <w:rFonts w:ascii="Times New Roman" w:cs="Times New Roman" w:eastAsia="Times New Roman" w:hAnsi="Times New Roman"/>
          <w:sz w:val="18"/>
          <w:szCs w:val="18"/>
          <w:rtl w:val="0"/>
        </w:rPr>
        <w:t xml:space="preserve">. https://www.atlanticcouncil.org/in-depth-research-reports/report/the-future-of-multilateral-peacebuilding-and-conflict-prevention/#sahel.</w:t>
      </w:r>
    </w:p>
  </w:footnote>
  <w:footnote w:id="47">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Hassan, Tirana. 2025. “2024: A Year of Reckoning.” </w:t>
      </w:r>
      <w:r w:rsidDel="00000000" w:rsidR="00000000" w:rsidRPr="00000000">
        <w:rPr>
          <w:rFonts w:ascii="Times New Roman" w:cs="Times New Roman" w:eastAsia="Times New Roman" w:hAnsi="Times New Roman"/>
          <w:sz w:val="18"/>
          <w:szCs w:val="18"/>
          <w:rtl w:val="0"/>
        </w:rPr>
        <w:t xml:space="preserve">Human Rights Watch</w:t>
      </w:r>
      <w:r w:rsidDel="00000000" w:rsidR="00000000" w:rsidRPr="00000000">
        <w:rPr>
          <w:rFonts w:ascii="Times New Roman" w:cs="Times New Roman" w:eastAsia="Times New Roman" w:hAnsi="Times New Roman"/>
          <w:sz w:val="18"/>
          <w:szCs w:val="18"/>
          <w:rtl w:val="0"/>
        </w:rPr>
        <w:t xml:space="preserve">. https://www.hrw.org/world-report/2025.</w:t>
      </w:r>
    </w:p>
  </w:footnote>
  <w:footnote w:id="48">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2024. “OHCHR | OHCHR: Transitional Justice and Human Rights.” OHCHR. 2024. https://www.ohchr.org/en/transitional-justice.</w:t>
      </w:r>
    </w:p>
  </w:footnote>
  <w:footnote w:id="50">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2010. “Guidance Note of the Secretary-General United Nations Approach to Transitional Justice.” https://www.securitycouncilreport.org/atf/cf/%7B65BFCF9B-6D27-4E9C-8CD3-CF6E4FF96FF9%7D/TJ_Guidance_Note_March_2010FINAL.pdf.</w:t>
      </w:r>
    </w:p>
  </w:footnote>
  <w:footnote w:id="52">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9">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w:t>
      </w:r>
      <w:r w:rsidDel="00000000" w:rsidR="00000000" w:rsidRPr="00000000">
        <w:rPr>
          <w:rFonts w:ascii="Times New Roman" w:cs="Times New Roman" w:eastAsia="Times New Roman" w:hAnsi="Times New Roman"/>
          <w:sz w:val="18"/>
          <w:szCs w:val="18"/>
          <w:rtl w:val="0"/>
        </w:rPr>
        <w:t xml:space="preserve">Security Council Resolution 955 (1994): Establishment of the International Criminal Tribunal for Rwanda</w:t>
      </w:r>
      <w:r w:rsidDel="00000000" w:rsidR="00000000" w:rsidRPr="00000000">
        <w:rPr>
          <w:rFonts w:ascii="Times New Roman" w:cs="Times New Roman" w:eastAsia="Times New Roman" w:hAnsi="Times New Roman"/>
          <w:sz w:val="18"/>
          <w:szCs w:val="18"/>
          <w:rtl w:val="0"/>
        </w:rPr>
        <w:t xml:space="preserve">, S/RES/955 (8 November 1994), http://docs.un.org/en/S/res/955(1994) </w:t>
      </w:r>
    </w:p>
  </w:footnote>
  <w:footnote w:id="51">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Rashid, Norul Mohamed. n.d. “International and Hybrid Criminal Courts and Tribunals.” United Nations and the Rule of Law. https://www.un.org/ruleoflaw/thematic-areas/international-law-courts-tribunals/international-hybrid-criminal-courts-tribunals/.</w:t>
      </w:r>
    </w:p>
  </w:footnote>
  <w:footnote w:id="53">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Naughton, Elena. 2018. “Committing to Justice for Serious Human Rights Violations: Lessons from Hybrid Tribunals.” </w:t>
      </w:r>
      <w:r w:rsidDel="00000000" w:rsidR="00000000" w:rsidRPr="00000000">
        <w:rPr>
          <w:rFonts w:ascii="Times New Roman" w:cs="Times New Roman" w:eastAsia="Times New Roman" w:hAnsi="Times New Roman"/>
          <w:sz w:val="18"/>
          <w:szCs w:val="18"/>
          <w:rtl w:val="0"/>
        </w:rPr>
        <w:t xml:space="preserve">International Center for Transitional Justice</w:t>
      </w:r>
      <w:r w:rsidDel="00000000" w:rsidR="00000000" w:rsidRPr="00000000">
        <w:rPr>
          <w:rFonts w:ascii="Times New Roman" w:cs="Times New Roman" w:eastAsia="Times New Roman" w:hAnsi="Times New Roman"/>
          <w:sz w:val="18"/>
          <w:szCs w:val="18"/>
          <w:rtl w:val="0"/>
        </w:rPr>
        <w:t xml:space="preserve">. https://www.ictj.org/sites/default/files/ICTJ_Report_Hybrid_Tribunals.pdf</w:t>
      </w:r>
    </w:p>
  </w:footnote>
  <w:footnote w:id="54">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55">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2004. The Rule of Law and Transitional Justice in Conflict and Post-Conflict Societies: Rep. of the Secretary-General, S/2004/616, August 23, 2004.https://docs.un.org/en/S/2004/616 </w:t>
      </w:r>
    </w:p>
  </w:footnote>
  <w:footnote w:id="56">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2024. “OHCHR | OHCHR: Transitional Justice and Human Rights.” OHCHR. 2024. https://www.ohchr.org/en/transitional-justicethat.</w:t>
      </w:r>
    </w:p>
  </w:footnote>
  <w:footnote w:id="26">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1948a. “Definitions of Genocide and Related Crimes | United Nations.” United Nations. 1948. </w:t>
      </w:r>
      <w:hyperlink r:id="rId44">
        <w:r w:rsidDel="00000000" w:rsidR="00000000" w:rsidRPr="00000000">
          <w:rPr>
            <w:rFonts w:ascii="Times New Roman" w:cs="Times New Roman" w:eastAsia="Times New Roman" w:hAnsi="Times New Roman"/>
            <w:sz w:val="18"/>
            <w:szCs w:val="18"/>
            <w:rtl w:val="0"/>
          </w:rPr>
          <w:t xml:space="preserve">https://www.un.org/en/genocide-prevention/definition</w:t>
        </w:r>
      </w:hyperlink>
      <w:r w:rsidDel="00000000" w:rsidR="00000000" w:rsidRPr="00000000">
        <w:rPr>
          <w:rFonts w:ascii="Times New Roman" w:cs="Times New Roman" w:eastAsia="Times New Roman" w:hAnsi="Times New Roman"/>
          <w:sz w:val="18"/>
          <w:szCs w:val="18"/>
          <w:rtl w:val="0"/>
        </w:rPr>
        <w:t xml:space="preserve">. </w:t>
      </w:r>
    </w:p>
  </w:footnote>
  <w:footnote w:id="27">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Arthur, Mikaila Mariel Lemonik. 2024. “Genocide.” EBSCO Knowledge Advantage. </w:t>
      </w:r>
      <w:hyperlink r:id="rId45">
        <w:r w:rsidDel="00000000" w:rsidR="00000000" w:rsidRPr="00000000">
          <w:rPr>
            <w:rFonts w:ascii="Times New Roman" w:cs="Times New Roman" w:eastAsia="Times New Roman" w:hAnsi="Times New Roman"/>
            <w:sz w:val="18"/>
            <w:szCs w:val="18"/>
            <w:rtl w:val="0"/>
          </w:rPr>
          <w:t xml:space="preserve">https://www.ebsco.com/research-starters/law/genocide#episodes-of-genocide</w:t>
        </w:r>
      </w:hyperlink>
      <w:r w:rsidDel="00000000" w:rsidR="00000000" w:rsidRPr="00000000">
        <w:rPr>
          <w:rFonts w:ascii="Times New Roman" w:cs="Times New Roman" w:eastAsia="Times New Roman" w:hAnsi="Times New Roman"/>
          <w:sz w:val="18"/>
          <w:szCs w:val="18"/>
          <w:rtl w:val="0"/>
        </w:rPr>
        <w:t xml:space="preserve">. </w:t>
      </w:r>
    </w:p>
  </w:footnote>
  <w:footnote w:id="57">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Human Rights Council. </w:t>
      </w:r>
      <w:r w:rsidDel="00000000" w:rsidR="00000000" w:rsidRPr="00000000">
        <w:rPr>
          <w:rFonts w:ascii="Times New Roman" w:cs="Times New Roman" w:eastAsia="Times New Roman" w:hAnsi="Times New Roman"/>
          <w:sz w:val="18"/>
          <w:szCs w:val="18"/>
          <w:rtl w:val="0"/>
        </w:rPr>
        <w:t xml:space="preserve">Analytical Study on Human Rights and Transitional Justice.</w:t>
      </w:r>
      <w:r w:rsidDel="00000000" w:rsidR="00000000" w:rsidRPr="00000000">
        <w:rPr>
          <w:rFonts w:ascii="Times New Roman" w:cs="Times New Roman" w:eastAsia="Times New Roman" w:hAnsi="Times New Roman"/>
          <w:sz w:val="18"/>
          <w:szCs w:val="18"/>
          <w:rtl w:val="0"/>
        </w:rPr>
        <w:t xml:space="preserve"> A/HRC/12/18. Twelfth session, Agenda item 2. August 6, 2009. https://www.undocs.org/A/HRC/12/18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drawing>
        <wp:anchor allowOverlap="1" behindDoc="1" distB="0" distT="0" distL="0" distR="0" hidden="0" layoutInCell="1" locked="0" relativeHeight="0" simplePos="0">
          <wp:simplePos x="0" y="0"/>
          <wp:positionH relativeFrom="page">
            <wp:posOffset>276225</wp:posOffset>
          </wp:positionH>
          <wp:positionV relativeFrom="page">
            <wp:posOffset>133350</wp:posOffset>
          </wp:positionV>
          <wp:extent cx="942975" cy="94297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anchor allowOverlap="1" behindDoc="1" distB="0" distT="0" distL="0" distR="0" hidden="0" layoutInCell="1" locked="0" relativeHeight="0" simplePos="0">
          <wp:simplePos x="0" y="0"/>
          <wp:positionH relativeFrom="page">
            <wp:posOffset>232209</wp:posOffset>
          </wp:positionH>
          <wp:positionV relativeFrom="page">
            <wp:posOffset>200025</wp:posOffset>
          </wp:positionV>
          <wp:extent cx="942975" cy="94297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Kennesaw State University High School Model United Nations Conference</w:t>
    </w:r>
  </w:p>
  <w:p w:rsidR="00000000" w:rsidDel="00000000" w:rsidP="00000000" w:rsidRDefault="00000000" w:rsidRPr="00000000" w14:paraId="0000005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Peacebuilding Commission</w:t>
    </w:r>
  </w:p>
  <w:p w:rsidR="00000000" w:rsidDel="00000000" w:rsidP="00000000" w:rsidRDefault="00000000" w:rsidRPr="00000000" w14:paraId="0000005B">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February 27th - 28th</w:t>
    </w:r>
    <w:r w:rsidDel="00000000" w:rsidR="00000000" w:rsidRPr="00000000">
      <w:rPr>
        <w:rFonts w:ascii="Times New Roman" w:cs="Times New Roman" w:eastAsia="Times New Roman" w:hAnsi="Times New Roman"/>
        <w:b w:val="1"/>
        <w:bCs w:val="1"/>
        <w:sz w:val="24"/>
        <w:szCs w:val="24"/>
        <w:rtl w:val="0"/>
      </w:rPr>
      <w:t xml:space="preserve">, 2026 Kennesaw, GA</w:t>
    </w:r>
  </w:p>
  <w:p w:rsidR="00000000" w:rsidDel="00000000" w:rsidP="00000000" w:rsidRDefault="00000000" w:rsidRPr="00000000" w14:paraId="0000005C">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hyperlink r:id="rId2">
      <w:r w:rsidDel="00000000" w:rsidR="00000000" w:rsidRPr="00000000">
        <w:rPr>
          <w:rFonts w:ascii="Times New Roman" w:cs="Times New Roman" w:eastAsia="Times New Roman" w:hAnsi="Times New Roman"/>
          <w:b w:val="1"/>
          <w:bCs w:val="1"/>
          <w:color w:val="1155cc"/>
          <w:sz w:val="24"/>
          <w:szCs w:val="24"/>
          <w:u w:val="single"/>
          <w:rtl w:val="0"/>
        </w:rPr>
        <w:t xml:space="preserve">ksuhsmun2526@gmail.com</w:t>
      </w:r>
    </w:hyperlink>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 Id="rId11"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40" Type="http://schemas.openxmlformats.org/officeDocument/2006/relationships/hyperlink" Target="https://www.britannica.com/topic/abolitionism-European-and-American-social-movement/Southern-defense-of-the-peculiar-institution" TargetMode="External"/><Relationship Id="rId20" Type="http://schemas.openxmlformats.org/officeDocument/2006/relationships/hyperlink" Target="https://www.unddr.org/the-ddr-bulletin/the-ddr-bulletin-issue-2-2025/" TargetMode="External"/><Relationship Id="rId42" Type="http://schemas.openxmlformats.org/officeDocument/2006/relationships/hyperlink" Target="https://www.britannica.com/event/Srebrenica-genocide" TargetMode="External"/><Relationship Id="rId41" Type="http://schemas.openxmlformats.org/officeDocument/2006/relationships/hyperlink" Target="https://www.cfr.org/excerpt-world-and-yugoslavias-wars" TargetMode="External"/><Relationship Id="rId22" Type="http://schemas.openxmlformats.org/officeDocument/2006/relationships/hyperlink" Target="https://childrenandarmedconflict.un.org/global-coalition-for-reintegration-of-child-soldiers/" TargetMode="External"/><Relationship Id="rId44" Type="http://schemas.openxmlformats.org/officeDocument/2006/relationships/hyperlink" Target="https://www.un.org/en/genocide-prevention/definition" TargetMode="External"/><Relationship Id="rId21" Type="http://schemas.openxmlformats.org/officeDocument/2006/relationships/hyperlink" Target="https://www.unddr.org/the-ddr-bulletin/the-ddr-bulletin-issue-2-2025/" TargetMode="External"/><Relationship Id="rId43" Type="http://schemas.openxmlformats.org/officeDocument/2006/relationships/hyperlink" Target="https://www.un.org/en/un75/new-era-conflict-and-violence" TargetMode="External"/><Relationship Id="rId24" Type="http://schemas.openxmlformats.org/officeDocument/2006/relationships/hyperlink" Target="https://www.securitycouncilreport.org/atf/cf/%7B65BFCF9B-6D27-4E9C-8CD3-CF6E4FF96FF9%7D/CAC%20SRES%201698.pdf" TargetMode="External"/><Relationship Id="rId23" Type="http://schemas.openxmlformats.org/officeDocument/2006/relationships/hyperlink" Target="https://www.unddr.org/the-ddr-bulletin/the-ddr-bulletin-issue-2-2025/" TargetMode="External"/><Relationship Id="rId45" Type="http://schemas.openxmlformats.org/officeDocument/2006/relationships/hyperlink" Target="https://www.ebsco.com/research-starters/law/genocide#episodes-of-genocide" TargetMode="External"/><Relationship Id="rId1" Type="http://schemas.openxmlformats.org/officeDocument/2006/relationships/hyperlink" Target="https://www.unicef.org/protection/children-recruited-by-armed-forces" TargetMode="External"/><Relationship Id="rId2" Type="http://schemas.openxmlformats.org/officeDocument/2006/relationships/hyperlink" Target="https://link.springer.com/article/10.1186/s41018-017-0022-3" TargetMode="External"/><Relationship Id="rId3" Type="http://schemas.openxmlformats.org/officeDocument/2006/relationships/hyperlink" Target="https://www.unddr.org/wp-content/uploads/2022/09/IDDRS-4.10-Disarmament.pdf.pdf" TargetMode="External"/><Relationship Id="rId4" Type="http://schemas.openxmlformats.org/officeDocument/2006/relationships/hyperlink" Target="https://digitallibrary.un.org/record/549756?v=pdf" TargetMode="External"/><Relationship Id="rId9" Type="http://schemas.openxmlformats.org/officeDocument/2006/relationships/hyperlink" Target="https://www.un.org/peacebuilding/commission/mandate" TargetMode="External"/><Relationship Id="rId26" Type="http://schemas.openxmlformats.org/officeDocument/2006/relationships/hyperlink" Target="https://www.un.org/peacebuilding/sites/www.un.org.peacebuilding/files/documents/pbc_brochure_eng_2023.pdf" TargetMode="External"/><Relationship Id="rId25" Type="http://schemas.openxmlformats.org/officeDocument/2006/relationships/hyperlink" Target="https://digitallibrary.un.org/record/4069987?ln=en&amp;v=pdf" TargetMode="External"/><Relationship Id="rId28" Type="http://schemas.openxmlformats.org/officeDocument/2006/relationships/hyperlink" Target="https://docs.un.org/A/RES/60/180" TargetMode="External"/><Relationship Id="rId27" Type="http://schemas.openxmlformats.org/officeDocument/2006/relationships/hyperlink" Target="https://www.un.org/peacebuilding/commission/membership" TargetMode="External"/><Relationship Id="rId5" Type="http://schemas.openxmlformats.org/officeDocument/2006/relationships/hyperlink" Target="https://www.brookings.edu/articles/young-soldiers-used-in-conflicts-around-the-world/" TargetMode="External"/><Relationship Id="rId6" Type="http://schemas.openxmlformats.org/officeDocument/2006/relationships/hyperlink" Target="https://scholarlycommons.law.wlu.edu/cgi/viewcontent.cgi?article=1124&amp;context=fac_books" TargetMode="External"/><Relationship Id="rId29" Type="http://schemas.openxmlformats.org/officeDocument/2006/relationships/hyperlink" Target="https://www.un.org/peacebuilding/commission/membership" TargetMode="External"/><Relationship Id="rId7" Type="http://schemas.openxmlformats.org/officeDocument/2006/relationships/hyperlink" Target="https://peacekeeping.un.org/en/disarmament-demobilization-and-reintegration" TargetMode="External"/><Relationship Id="rId8" Type="http://schemas.openxmlformats.org/officeDocument/2006/relationships/hyperlink" Target="https://peacekeeping.un.org/sites/default/files/operational-guide-rev-2010-web.pdf" TargetMode="External"/><Relationship Id="rId31" Type="http://schemas.openxmlformats.org/officeDocument/2006/relationships/hyperlink" Target="https://peacenexus.org/partnership/united-nations-peacebuilding-support-office/" TargetMode="External"/><Relationship Id="rId30" Type="http://schemas.openxmlformats.org/officeDocument/2006/relationships/hyperlink" Target="https://www.un.org/peacebuilding/content/fund" TargetMode="External"/><Relationship Id="rId11" Type="http://schemas.openxmlformats.org/officeDocument/2006/relationships/hyperlink" Target="https://peacekeeping.un.org/en/disarmament-demobilization-and-reintegration" TargetMode="External"/><Relationship Id="rId33" Type="http://schemas.openxmlformats.org/officeDocument/2006/relationships/hyperlink" Target="https://www.ohchr.org/en/transitional-justice" TargetMode="External"/><Relationship Id="rId10" Type="http://schemas.openxmlformats.org/officeDocument/2006/relationships/hyperlink" Target="https://www.securitycouncilreport.org/monthly-forecast/2025-07/in-hindsight-moving-towards-a-second-era-of-application-of-the-tools-of-the-children-in-armed-conflict-agenda.php" TargetMode="External"/><Relationship Id="rId32" Type="http://schemas.openxmlformats.org/officeDocument/2006/relationships/hyperlink" Target="https://www.un.org/peacebuilding/sites/www.un.org.peacebuilding/files/documents/chairs_summary_pbc-pbf_strategic_dialogue.pdf" TargetMode="External"/><Relationship Id="rId13" Type="http://schemas.openxmlformats.org/officeDocument/2006/relationships/hyperlink" Target="https://www.securitycouncilreport.org/monthly-forecast/2025-07/in-hindsight-moving-towards-a-second-era-of-application-of-the-tools-of-the-children-in-armed-conflict-agenda.php" TargetMode="External"/><Relationship Id="rId35" Type="http://schemas.openxmlformats.org/officeDocument/2006/relationships/hyperlink" Target="https://www.un.org/ruleoflaw/what-is-the-rule-of-law/" TargetMode="External"/><Relationship Id="rId12" Type="http://schemas.openxmlformats.org/officeDocument/2006/relationships/hyperlink" Target="https://www.un.org/sustainabledevelopment/education/" TargetMode="External"/><Relationship Id="rId34" Type="http://schemas.openxmlformats.org/officeDocument/2006/relationships/hyperlink" Target="https://www.un.org/en/about-us/universal-declaration-of-human-rights" TargetMode="External"/><Relationship Id="rId15" Type="http://schemas.openxmlformats.org/officeDocument/2006/relationships/hyperlink" Target="https://www.securitycouncilreport.org/atf/cf/%7B65BFCF9B-6D27-4E9C-8CD3-CF6E4FF96FF9%7D/CAC%20SRES%201612.pdf" TargetMode="External"/><Relationship Id="rId37" Type="http://schemas.openxmlformats.org/officeDocument/2006/relationships/hyperlink" Target="https://history.state.gov/milestones/1945-1952/nuremberg" TargetMode="External"/><Relationship Id="rId14" Type="http://schemas.openxmlformats.org/officeDocument/2006/relationships/hyperlink" Target="https://digitallibrary.un.org/record/549756?v=pdf" TargetMode="External"/><Relationship Id="rId36" Type="http://schemas.openxmlformats.org/officeDocument/2006/relationships/hyperlink" Target="https://www.cfr.org/report/global-human-rights-regime" TargetMode="External"/><Relationship Id="rId17" Type="http://schemas.openxmlformats.org/officeDocument/2006/relationships/hyperlink" Target="https://peacekeeping.un.org/en/disarmament-demobilization-and-reintegration" TargetMode="External"/><Relationship Id="rId39" Type="http://schemas.openxmlformats.org/officeDocument/2006/relationships/hyperlink" Target="about:blank" TargetMode="External"/><Relationship Id="rId16" Type="http://schemas.openxmlformats.org/officeDocument/2006/relationships/hyperlink" Target="https://www.unddr.org/wp-content/uploads/2022/01/IDDRS-5.20-Children-and-DDR.pdf" TargetMode="External"/><Relationship Id="rId38" Type="http://schemas.openxmlformats.org/officeDocument/2006/relationships/hyperlink" Target="https://www.echr.coe.int/documents/d/echr/Convention_ENG" TargetMode="External"/><Relationship Id="rId19" Type="http://schemas.openxmlformats.org/officeDocument/2006/relationships/hyperlink" Target="https://www.unddr.org/the-ddr-bulletin/the-ddr-bulletin-issue-2-2025/" TargetMode="External"/><Relationship Id="rId18" Type="http://schemas.openxmlformats.org/officeDocument/2006/relationships/hyperlink" Target="https://peacekeeping.un.org/en/disarmament-demobilization-and-reinteg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suhsmun20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KOOJLd7QUorMW+HXnUu6gyNeg==">CgMxLjA4AHIhMVl5bmhENngtMmtXU3dGWlVmaDhIb3RqTW5TZjl5d1Z2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