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1A4276" w14:textId="77777777" w:rsidR="0012503D" w:rsidRDefault="0012503D">
      <w:pPr>
        <w:rPr>
          <w:sz w:val="20"/>
          <w:szCs w:val="20"/>
        </w:rPr>
      </w:pPr>
    </w:p>
    <w:p w14:paraId="06746F44" w14:textId="77777777" w:rsidR="0012503D" w:rsidRDefault="00000000">
      <w:pPr>
        <w:rPr>
          <w:i/>
          <w:iCs/>
          <w:sz w:val="20"/>
          <w:szCs w:val="20"/>
        </w:rPr>
      </w:pPr>
      <w:r>
        <w:rPr>
          <w:i/>
          <w:iCs/>
          <w:sz w:val="20"/>
          <w:szCs w:val="20"/>
        </w:rPr>
        <w:t>Delegates,</w:t>
      </w:r>
    </w:p>
    <w:p w14:paraId="3BDD3CFD" w14:textId="77777777" w:rsidR="0012503D" w:rsidRDefault="00000000">
      <w:pPr>
        <w:ind w:firstLine="720"/>
        <w:rPr>
          <w:sz w:val="20"/>
          <w:szCs w:val="20"/>
        </w:rPr>
      </w:pPr>
      <w:r>
        <w:rPr>
          <w:sz w:val="20"/>
          <w:szCs w:val="20"/>
        </w:rPr>
        <w:t xml:space="preserve">Welcome to the </w:t>
      </w:r>
      <w:proofErr w:type="spellStart"/>
      <w:r>
        <w:rPr>
          <w:sz w:val="20"/>
          <w:szCs w:val="20"/>
        </w:rPr>
        <w:t>fourtieth</w:t>
      </w:r>
      <w:proofErr w:type="spellEnd"/>
      <w:r>
        <w:rPr>
          <w:sz w:val="20"/>
          <w:szCs w:val="20"/>
        </w:rPr>
        <w:t xml:space="preserve"> annual Kennesaw State University High School Model United Nations (HSMUN) Conference. My name is </w:t>
      </w:r>
      <w:proofErr w:type="spellStart"/>
      <w:r>
        <w:rPr>
          <w:sz w:val="20"/>
          <w:szCs w:val="20"/>
        </w:rPr>
        <w:t>Isiaiah</w:t>
      </w:r>
      <w:proofErr w:type="spellEnd"/>
      <w:r>
        <w:rPr>
          <w:sz w:val="20"/>
          <w:szCs w:val="20"/>
        </w:rPr>
        <w:t xml:space="preserve"> Donaldson and I will be your Director for the United Nations Environmental Assembly. I am a Senior at Kennesaw State University and will be receiving my Bachelor’s in International Affairs with a minor in Political Science this May. This is my third time on staff at KSU HSMUN — once as the Director-General — and I will be staffing for the third time at the collegiate-level SRMUN Atlanta this fall. Outside of college and MUN, I enjoy rock climbing, working out, running, carpentry, and hanging out with my friends.</w:t>
      </w:r>
    </w:p>
    <w:p w14:paraId="3179775C" w14:textId="77777777" w:rsidR="0012503D" w:rsidRDefault="00000000">
      <w:pPr>
        <w:ind w:firstLine="720"/>
        <w:rPr>
          <w:sz w:val="20"/>
          <w:szCs w:val="20"/>
        </w:rPr>
      </w:pPr>
      <w:r>
        <w:rPr>
          <w:sz w:val="20"/>
          <w:szCs w:val="20"/>
        </w:rPr>
        <w:t xml:space="preserve">Your Assistant Director is Hannah Anderson. Hannah is a junior getting her degree in International Affairs with a minor in Spanish, and this is her second semester in KSU’s Model UN. Outside of Model UN, Hannah is an Honors Ambassador for the KSU Honors College, the RSO Treasurer of the President’s Emerging Global Scholars (PEGS) honors cohort, and a student assistant in the Radow College’s Dean’s Office. A fun fact about Hannah is that she loves to journal in her free time. </w:t>
      </w:r>
    </w:p>
    <w:p w14:paraId="1BE4E48F" w14:textId="77777777" w:rsidR="0012503D" w:rsidRDefault="00000000">
      <w:pPr>
        <w:ind w:firstLine="720"/>
        <w:rPr>
          <w:sz w:val="20"/>
          <w:szCs w:val="20"/>
        </w:rPr>
      </w:pPr>
      <w:r>
        <w:rPr>
          <w:sz w:val="20"/>
          <w:szCs w:val="20"/>
        </w:rPr>
        <w:t xml:space="preserve">Your other Assistant Director is Rohan Jain. Rohan is a dual-enrollment student at KSU new to KSUMUN who, prior to this year, served as President of his local high school team and </w:t>
      </w:r>
      <w:proofErr w:type="spellStart"/>
      <w:r>
        <w:rPr>
          <w:sz w:val="20"/>
          <w:szCs w:val="20"/>
        </w:rPr>
        <w:t>daised</w:t>
      </w:r>
      <w:proofErr w:type="spellEnd"/>
      <w:r>
        <w:rPr>
          <w:sz w:val="20"/>
          <w:szCs w:val="20"/>
        </w:rPr>
        <w:t xml:space="preserve"> for several local conferences. Rohan will be attending The University of Chicago starting in Fall 2025, intending on double-majoring in Economics and Philosophy with a research focus on the intersection of political philosophy and market design. In his free time, Rohan enjoys competitive trivia, reading, and the occasional college football game. </w:t>
      </w:r>
    </w:p>
    <w:p w14:paraId="3720F726" w14:textId="77777777" w:rsidR="0012503D" w:rsidRDefault="0012503D">
      <w:pPr>
        <w:rPr>
          <w:sz w:val="20"/>
          <w:szCs w:val="20"/>
        </w:rPr>
      </w:pPr>
    </w:p>
    <w:p w14:paraId="06B6454C" w14:textId="77777777" w:rsidR="0012503D" w:rsidRDefault="0012503D">
      <w:pPr>
        <w:rPr>
          <w:sz w:val="20"/>
          <w:szCs w:val="20"/>
        </w:rPr>
      </w:pPr>
    </w:p>
    <w:p w14:paraId="198D3BF2" w14:textId="77777777" w:rsidR="0012503D" w:rsidRDefault="0012503D">
      <w:pPr>
        <w:rPr>
          <w:sz w:val="20"/>
          <w:szCs w:val="20"/>
        </w:rPr>
      </w:pPr>
    </w:p>
    <w:p w14:paraId="5A416364" w14:textId="77777777" w:rsidR="0012503D" w:rsidRDefault="00000000">
      <w:pPr>
        <w:jc w:val="center"/>
        <w:rPr>
          <w:b/>
          <w:bCs/>
          <w:sz w:val="20"/>
          <w:szCs w:val="20"/>
        </w:rPr>
      </w:pPr>
      <w:r>
        <w:rPr>
          <w:b/>
          <w:bCs/>
          <w:sz w:val="20"/>
          <w:szCs w:val="20"/>
        </w:rPr>
        <w:t xml:space="preserve">The topics under discussion for the United Nations Environmental Assembly </w:t>
      </w:r>
    </w:p>
    <w:p w14:paraId="198EE12D" w14:textId="77777777" w:rsidR="0012503D" w:rsidRDefault="0012503D">
      <w:pPr>
        <w:rPr>
          <w:b/>
          <w:bCs/>
          <w:sz w:val="20"/>
          <w:szCs w:val="20"/>
        </w:rPr>
      </w:pPr>
    </w:p>
    <w:p w14:paraId="196139C4" w14:textId="77777777" w:rsidR="0012503D" w:rsidRDefault="00000000">
      <w:pPr>
        <w:numPr>
          <w:ilvl w:val="0"/>
          <w:numId w:val="1"/>
        </w:numPr>
        <w:spacing w:line="276" w:lineRule="auto"/>
        <w:rPr>
          <w:b/>
          <w:bCs/>
        </w:rPr>
      </w:pPr>
      <w:r>
        <w:rPr>
          <w:b/>
          <w:bCs/>
        </w:rPr>
        <w:t>Aiding Communities Disproportionately Affected by Pollution and Administering Environmental Justice</w:t>
      </w:r>
    </w:p>
    <w:p w14:paraId="41F1D371" w14:textId="77777777" w:rsidR="0012503D" w:rsidRDefault="00000000">
      <w:pPr>
        <w:numPr>
          <w:ilvl w:val="0"/>
          <w:numId w:val="1"/>
        </w:numPr>
        <w:rPr>
          <w:b/>
          <w:bCs/>
        </w:rPr>
      </w:pPr>
      <w:r>
        <w:rPr>
          <w:b/>
          <w:bCs/>
        </w:rPr>
        <w:t>Addressing and Mitigating the Environmental Impacts of Artificial Intelligence</w:t>
      </w:r>
    </w:p>
    <w:p w14:paraId="75497B93" w14:textId="77777777" w:rsidR="0012503D" w:rsidRDefault="0012503D">
      <w:pPr>
        <w:rPr>
          <w:b/>
          <w:bCs/>
        </w:rPr>
      </w:pPr>
    </w:p>
    <w:p w14:paraId="1F16BB54" w14:textId="77777777" w:rsidR="0012503D" w:rsidRDefault="0012503D">
      <w:pPr>
        <w:rPr>
          <w:b/>
          <w:bCs/>
        </w:rPr>
      </w:pPr>
    </w:p>
    <w:p w14:paraId="461D41D5" w14:textId="77777777" w:rsidR="0012503D" w:rsidRDefault="0012503D">
      <w:pPr>
        <w:rPr>
          <w:b/>
          <w:bCs/>
        </w:rPr>
      </w:pPr>
    </w:p>
    <w:p w14:paraId="6B736AAF" w14:textId="77777777" w:rsidR="0012503D" w:rsidRDefault="0012503D">
      <w:pPr>
        <w:rPr>
          <w:b/>
          <w:bCs/>
          <w:sz w:val="20"/>
          <w:szCs w:val="20"/>
        </w:rPr>
      </w:pPr>
    </w:p>
    <w:p w14:paraId="45D0A167" w14:textId="77777777" w:rsidR="0012503D" w:rsidRDefault="00000000">
      <w:pPr>
        <w:ind w:firstLine="720"/>
        <w:rPr>
          <w:sz w:val="20"/>
          <w:szCs w:val="20"/>
        </w:rPr>
      </w:pPr>
      <w:r>
        <w:rPr>
          <w:sz w:val="20"/>
          <w:szCs w:val="20"/>
        </w:rPr>
        <w:t xml:space="preserve">Each Member State’s delegation within this committee is expected to submit a position paper presenting their ideas for both agenda topics. A position paper is a short essay describing your Member State’s history and position on the issues at hand. There are three key parts to any successful position paper: history, current status of the issue, and proposed solutions. Information for properly formatting the position papers, as well as valuable advice for writing a quality paper, can be found in the Delegate Preparation section of the HSMUN webpage (http://conference.kennesaw.edu/hsmun/). Delegates are reminded that papers should be no longer than two pages in length with titles in size 12 and text in size 10-12 Times New Roman. Citations should be footnoted in Chicago style formatting, like those used inside this guide. Furthermore, plagiarism in an academic setting is unacceptable and will nullify any score for the paper in question. During the grading process, we will be utilizing the university’s plagiarism checker. Wikipedia is a wonderful place to begin researching, but we highly encourage the use of peer-reviewed academic articles or trusted media sources. The objective of a position paper is to present the diplomatic position of your Member State on both agenda topics as accurately as possible. </w:t>
      </w:r>
      <w:r>
        <w:rPr>
          <w:b/>
          <w:bCs/>
          <w:i/>
          <w:iCs/>
          <w:sz w:val="20"/>
          <w:szCs w:val="20"/>
          <w:u w:val="single"/>
        </w:rPr>
        <w:t>All position papers MUST be sent to ksuhsmun2526@gmail.com by February 20th, 2026. Late papers will be accepted until February 26th, 2026 with points penalized.</w:t>
      </w:r>
    </w:p>
    <w:p w14:paraId="6FCCC08F" w14:textId="77777777" w:rsidR="0012503D" w:rsidRDefault="0012503D">
      <w:pPr>
        <w:widowControl w:val="0"/>
        <w:ind w:right="2587"/>
        <w:rPr>
          <w:sz w:val="20"/>
          <w:szCs w:val="20"/>
        </w:rPr>
      </w:pPr>
    </w:p>
    <w:p w14:paraId="1D042D7B" w14:textId="77777777" w:rsidR="0012503D" w:rsidRDefault="0012503D">
      <w:pPr>
        <w:widowControl w:val="0"/>
        <w:ind w:right="2587"/>
        <w:rPr>
          <w:b/>
          <w:bCs/>
        </w:rPr>
      </w:pPr>
    </w:p>
    <w:p w14:paraId="44518101" w14:textId="77777777" w:rsidR="0012503D" w:rsidRDefault="0012503D">
      <w:pPr>
        <w:widowControl w:val="0"/>
        <w:ind w:right="2587"/>
        <w:rPr>
          <w:b/>
          <w:bCs/>
        </w:rPr>
      </w:pPr>
    </w:p>
    <w:p w14:paraId="05CEDB7C" w14:textId="77777777" w:rsidR="0012503D" w:rsidRDefault="0012503D">
      <w:pPr>
        <w:widowControl w:val="0"/>
        <w:ind w:right="2587"/>
        <w:rPr>
          <w:b/>
          <w:bCs/>
        </w:rPr>
      </w:pPr>
    </w:p>
    <w:p w14:paraId="6BC6C889" w14:textId="77777777" w:rsidR="0012503D" w:rsidRDefault="0012503D">
      <w:pPr>
        <w:widowControl w:val="0"/>
        <w:ind w:right="2587"/>
        <w:rPr>
          <w:b/>
          <w:bCs/>
        </w:rPr>
      </w:pPr>
    </w:p>
    <w:p w14:paraId="44081B37" w14:textId="77777777" w:rsidR="0012503D" w:rsidRDefault="0012503D">
      <w:pPr>
        <w:widowControl w:val="0"/>
        <w:ind w:right="2587"/>
        <w:rPr>
          <w:b/>
          <w:bCs/>
        </w:rPr>
      </w:pPr>
    </w:p>
    <w:p w14:paraId="0608F8F5" w14:textId="77777777" w:rsidR="0012503D" w:rsidRDefault="0012503D">
      <w:pPr>
        <w:widowControl w:val="0"/>
        <w:ind w:right="2587"/>
        <w:rPr>
          <w:b/>
          <w:bCs/>
        </w:rPr>
      </w:pPr>
    </w:p>
    <w:p w14:paraId="214378AB" w14:textId="77777777" w:rsidR="0012503D" w:rsidRDefault="0012503D">
      <w:pPr>
        <w:widowControl w:val="0"/>
        <w:ind w:right="2587"/>
        <w:rPr>
          <w:b/>
          <w:bCs/>
        </w:rPr>
      </w:pPr>
    </w:p>
    <w:p w14:paraId="3478EB4C" w14:textId="77777777" w:rsidR="0012503D" w:rsidRDefault="0012503D">
      <w:pPr>
        <w:widowControl w:val="0"/>
        <w:ind w:right="2587"/>
        <w:rPr>
          <w:b/>
          <w:bCs/>
        </w:rPr>
      </w:pPr>
    </w:p>
    <w:p w14:paraId="1DE79EC6" w14:textId="77777777" w:rsidR="0012503D" w:rsidRDefault="0012503D">
      <w:pPr>
        <w:widowControl w:val="0"/>
        <w:ind w:right="2587"/>
        <w:rPr>
          <w:b/>
          <w:bCs/>
        </w:rPr>
      </w:pPr>
    </w:p>
    <w:p w14:paraId="59C2D570" w14:textId="77777777" w:rsidR="0012503D" w:rsidRDefault="0012503D">
      <w:pPr>
        <w:widowControl w:val="0"/>
        <w:ind w:right="2587"/>
        <w:rPr>
          <w:b/>
          <w:bCs/>
        </w:rPr>
      </w:pPr>
    </w:p>
    <w:p w14:paraId="22831CC8" w14:textId="77777777" w:rsidR="0012503D" w:rsidRDefault="0012503D">
      <w:pPr>
        <w:widowControl w:val="0"/>
        <w:ind w:right="2587"/>
        <w:rPr>
          <w:b/>
          <w:bCs/>
        </w:rPr>
      </w:pPr>
    </w:p>
    <w:p w14:paraId="1AF3D822" w14:textId="77777777" w:rsidR="0012503D" w:rsidRDefault="00000000">
      <w:pPr>
        <w:widowControl w:val="0"/>
        <w:numPr>
          <w:ilvl w:val="0"/>
          <w:numId w:val="2"/>
        </w:numPr>
        <w:ind w:right="720"/>
        <w:rPr>
          <w:b/>
          <w:bCs/>
          <w:sz w:val="22"/>
          <w:szCs w:val="22"/>
        </w:rPr>
      </w:pPr>
      <w:r>
        <w:rPr>
          <w:b/>
          <w:bCs/>
          <w:sz w:val="20"/>
          <w:szCs w:val="20"/>
        </w:rPr>
        <w:lastRenderedPageBreak/>
        <w:t>Aiding Communities Disproportionately Affected by Pollution and Administering Environmental Justice</w:t>
      </w:r>
    </w:p>
    <w:p w14:paraId="17B76207" w14:textId="77777777" w:rsidR="0012503D" w:rsidRDefault="0012503D">
      <w:pPr>
        <w:widowControl w:val="0"/>
        <w:ind w:right="2587"/>
        <w:rPr>
          <w:sz w:val="20"/>
          <w:szCs w:val="20"/>
        </w:rPr>
      </w:pPr>
    </w:p>
    <w:p w14:paraId="71385991" w14:textId="77777777" w:rsidR="0012503D" w:rsidRDefault="0012503D">
      <w:pPr>
        <w:widowControl w:val="0"/>
      </w:pPr>
    </w:p>
    <w:p w14:paraId="19D10444" w14:textId="77777777" w:rsidR="0012503D" w:rsidRDefault="00000000">
      <w:pPr>
        <w:widowControl w:val="0"/>
        <w:rPr>
          <w:b/>
          <w:bCs/>
        </w:rPr>
      </w:pPr>
      <w:r>
        <w:rPr>
          <w:b/>
          <w:bCs/>
        </w:rPr>
        <w:t>Introduction</w:t>
      </w:r>
    </w:p>
    <w:p w14:paraId="029D7076" w14:textId="77777777" w:rsidR="0012503D" w:rsidRDefault="0012503D">
      <w:pPr>
        <w:widowControl w:val="0"/>
        <w:rPr>
          <w:b/>
          <w:bCs/>
        </w:rPr>
      </w:pPr>
    </w:p>
    <w:p w14:paraId="6CF0047B" w14:textId="77777777" w:rsidR="0012503D" w:rsidRDefault="00000000">
      <w:pPr>
        <w:ind w:firstLine="720"/>
        <w:rPr>
          <w:sz w:val="20"/>
          <w:szCs w:val="20"/>
        </w:rPr>
      </w:pPr>
      <w:r>
        <w:rPr>
          <w:sz w:val="20"/>
          <w:szCs w:val="20"/>
        </w:rPr>
        <w:t>There are underprivileged communities in most Member States, including those of particular racial, ethnic, religious, and socioeconomic groups.</w:t>
      </w:r>
      <w:r>
        <w:rPr>
          <w:sz w:val="20"/>
          <w:szCs w:val="20"/>
          <w:vertAlign w:val="superscript"/>
        </w:rPr>
        <w:footnoteReference w:id="1"/>
      </w:r>
      <w:r>
        <w:rPr>
          <w:sz w:val="20"/>
          <w:szCs w:val="20"/>
        </w:rPr>
        <w:t xml:space="preserve"> These people experience a broad array of structural challenges — political, social, and economic — yet, an ignored dimension is the environmental challenges they face.</w:t>
      </w:r>
      <w:r>
        <w:rPr>
          <w:sz w:val="20"/>
          <w:szCs w:val="20"/>
          <w:vertAlign w:val="superscript"/>
        </w:rPr>
        <w:footnoteReference w:id="2"/>
      </w:r>
      <w:r>
        <w:rPr>
          <w:sz w:val="20"/>
          <w:szCs w:val="20"/>
        </w:rPr>
        <w:t xml:space="preserve"> Marginalized communities in Member States are often exposed to hazardous pollutants including fumes, ash, soot, and other toxic/hazardous materials at a disproportionate rate.</w:t>
      </w:r>
      <w:r>
        <w:rPr>
          <w:sz w:val="20"/>
          <w:szCs w:val="20"/>
          <w:vertAlign w:val="superscript"/>
        </w:rPr>
        <w:footnoteReference w:id="3"/>
      </w:r>
      <w:r>
        <w:rPr>
          <w:sz w:val="20"/>
          <w:szCs w:val="20"/>
        </w:rPr>
        <w:t xml:space="preserve"> As a result, members of these communities are more likely to develop negative health outcomes including respiratory harm and cancer.</w:t>
      </w:r>
      <w:r>
        <w:rPr>
          <w:sz w:val="20"/>
          <w:szCs w:val="20"/>
          <w:vertAlign w:val="superscript"/>
        </w:rPr>
        <w:footnoteReference w:id="4"/>
      </w:r>
      <w:r>
        <w:rPr>
          <w:sz w:val="20"/>
          <w:szCs w:val="20"/>
        </w:rPr>
        <w:t xml:space="preserve"> The issues posed to marginalized groups  by environmental maladies relate to concepts such as cyclical poverty, or the idea that the conditions of poverty make it incredibly difficult to escape poverty, resulting in generations of hardship for those affected.</w:t>
      </w:r>
      <w:r>
        <w:rPr>
          <w:sz w:val="20"/>
          <w:szCs w:val="20"/>
          <w:vertAlign w:val="superscript"/>
        </w:rPr>
        <w:footnoteReference w:id="5"/>
      </w:r>
    </w:p>
    <w:p w14:paraId="4EE8C391" w14:textId="77777777" w:rsidR="0012503D" w:rsidRDefault="00000000">
      <w:pPr>
        <w:ind w:firstLine="720"/>
        <w:rPr>
          <w:sz w:val="20"/>
          <w:szCs w:val="20"/>
        </w:rPr>
      </w:pPr>
      <w:r>
        <w:rPr>
          <w:sz w:val="20"/>
          <w:szCs w:val="20"/>
        </w:rPr>
        <w:t xml:space="preserve">  Movements are emerging across Member States to address the uniquely difficult challenges put upon underprivileged communities by disproportionate exposure to pollutants — including the anti-environmental racism movement observed in the United States (US).</w:t>
      </w:r>
      <w:r>
        <w:rPr>
          <w:sz w:val="20"/>
          <w:szCs w:val="20"/>
          <w:vertAlign w:val="superscript"/>
        </w:rPr>
        <w:footnoteReference w:id="6"/>
      </w:r>
      <w:r>
        <w:rPr>
          <w:sz w:val="20"/>
          <w:szCs w:val="20"/>
        </w:rPr>
        <w:t xml:space="preserve"> These groups are advocating for environmental justice — a concept referring to the equal protection of all people from environmental maladies.</w:t>
      </w:r>
      <w:r>
        <w:rPr>
          <w:sz w:val="20"/>
          <w:szCs w:val="20"/>
          <w:vertAlign w:val="superscript"/>
        </w:rPr>
        <w:footnoteReference w:id="7"/>
      </w:r>
      <w:r>
        <w:rPr>
          <w:sz w:val="20"/>
          <w:szCs w:val="20"/>
        </w:rPr>
        <w:t xml:space="preserve"> Promoting environmental justice involves both policymaking directed at protecting marginalized groups from environmental harm, and giving individuals from those groups positions and platforms that allow them to shape their communities.</w:t>
      </w:r>
      <w:r>
        <w:rPr>
          <w:sz w:val="20"/>
          <w:szCs w:val="20"/>
          <w:vertAlign w:val="superscript"/>
        </w:rPr>
        <w:footnoteReference w:id="8"/>
      </w:r>
      <w:r>
        <w:rPr>
          <w:sz w:val="20"/>
          <w:szCs w:val="20"/>
        </w:rPr>
        <w:t xml:space="preserve"> Securing these environmental protections bolsters the ability for marginalized communities to grow, thrive, and experience positive multidimensional development.</w:t>
      </w:r>
      <w:r>
        <w:rPr>
          <w:sz w:val="20"/>
          <w:szCs w:val="20"/>
          <w:vertAlign w:val="superscript"/>
        </w:rPr>
        <w:footnoteReference w:id="9"/>
      </w:r>
      <w:r>
        <w:rPr>
          <w:sz w:val="20"/>
          <w:szCs w:val="20"/>
        </w:rPr>
        <w:t xml:space="preserve"> All things considered, aiding communities affected by pollution at a disproportionate rate and enacting environmental justice represents a key challenge for the UNEA to address.</w:t>
      </w:r>
    </w:p>
    <w:p w14:paraId="52A37D32" w14:textId="77777777" w:rsidR="0012503D" w:rsidRDefault="0012503D">
      <w:pPr>
        <w:widowControl w:val="0"/>
        <w:rPr>
          <w:b/>
          <w:bCs/>
        </w:rPr>
      </w:pPr>
    </w:p>
    <w:p w14:paraId="6506DA1A" w14:textId="77777777" w:rsidR="0012503D" w:rsidRDefault="00000000">
      <w:pPr>
        <w:widowControl w:val="0"/>
        <w:rPr>
          <w:b/>
          <w:bCs/>
        </w:rPr>
      </w:pPr>
      <w:r>
        <w:rPr>
          <w:b/>
          <w:bCs/>
        </w:rPr>
        <w:t>History</w:t>
      </w:r>
    </w:p>
    <w:p w14:paraId="52EA09B6" w14:textId="77777777" w:rsidR="0012503D" w:rsidRDefault="0012503D">
      <w:pPr>
        <w:widowControl w:val="0"/>
        <w:rPr>
          <w:b/>
          <w:bCs/>
        </w:rPr>
      </w:pPr>
    </w:p>
    <w:p w14:paraId="77836507" w14:textId="77777777" w:rsidR="0012503D" w:rsidRDefault="00000000">
      <w:pPr>
        <w:widowControl w:val="0"/>
        <w:ind w:firstLine="720"/>
        <w:rPr>
          <w:sz w:val="20"/>
          <w:szCs w:val="20"/>
        </w:rPr>
      </w:pPr>
      <w:r>
        <w:rPr>
          <w:sz w:val="20"/>
          <w:szCs w:val="20"/>
        </w:rPr>
        <w:t>The Industrial Revolution was an age of profound technological development spanning the 18th and 19th centuries.</w:t>
      </w:r>
      <w:r>
        <w:rPr>
          <w:sz w:val="20"/>
          <w:szCs w:val="20"/>
          <w:vertAlign w:val="superscript"/>
        </w:rPr>
        <w:footnoteReference w:id="10"/>
      </w:r>
      <w:r>
        <w:rPr>
          <w:sz w:val="20"/>
          <w:szCs w:val="20"/>
        </w:rPr>
        <w:t xml:space="preserve"> Technologies including steam engines, railway networks, and industrial production machines — such as the Spinning Jenny, an innovation that facilitated the mass production of textiles — dramatically transformed rural and agrarian societies in Europe and North America into sophisticated, urban societies.</w:t>
      </w:r>
      <w:r>
        <w:rPr>
          <w:sz w:val="20"/>
          <w:szCs w:val="20"/>
          <w:vertAlign w:val="superscript"/>
        </w:rPr>
        <w:footnoteReference w:id="11"/>
      </w:r>
      <w:r>
        <w:rPr>
          <w:sz w:val="20"/>
          <w:szCs w:val="20"/>
        </w:rPr>
        <w:t xml:space="preserve"> Meanwhile, fossil fuels including coal, natural gas, and oil became permanent fixtures of the industrial world, as these energy resources enabled the mass production occurring during the Industrial Revolution.</w:t>
      </w:r>
      <w:r>
        <w:rPr>
          <w:sz w:val="20"/>
          <w:szCs w:val="20"/>
          <w:vertAlign w:val="superscript"/>
        </w:rPr>
        <w:footnoteReference w:id="12"/>
      </w:r>
      <w:r>
        <w:rPr>
          <w:sz w:val="20"/>
          <w:szCs w:val="20"/>
        </w:rPr>
        <w:t xml:space="preserve"> These fossil fuels emitted pollutants as harmful externalities — including carbon dioxide, carbon monoxide, sulfur dioxide, nitrogen oxides, and particulate matter — that posed a direct health risk to humans.</w:t>
      </w:r>
      <w:r>
        <w:rPr>
          <w:sz w:val="20"/>
          <w:szCs w:val="20"/>
          <w:vertAlign w:val="superscript"/>
        </w:rPr>
        <w:footnoteReference w:id="13"/>
      </w:r>
      <w:r>
        <w:rPr>
          <w:sz w:val="20"/>
          <w:szCs w:val="20"/>
        </w:rPr>
        <w:t xml:space="preserve"> Meanwhile, industrial units including factories, railroads, and waste sites were built in less prosperous locations such as working-class neighborhoods, since land was more </w:t>
      </w:r>
      <w:r>
        <w:rPr>
          <w:sz w:val="20"/>
          <w:szCs w:val="20"/>
        </w:rPr>
        <w:lastRenderedPageBreak/>
        <w:t>affordable for developers and poorer people did not have the means to resist.</w:t>
      </w:r>
      <w:r>
        <w:rPr>
          <w:sz w:val="20"/>
          <w:szCs w:val="20"/>
          <w:vertAlign w:val="superscript"/>
        </w:rPr>
        <w:footnoteReference w:id="14"/>
      </w:r>
      <w:r>
        <w:rPr>
          <w:sz w:val="20"/>
          <w:szCs w:val="20"/>
        </w:rPr>
        <w:t xml:space="preserve"> Furthermore, redlining — a concept referring to the entrapment of communities in deteriorating, less affluent neighborhoods through processes such as denying marginalized groups mortgages in certain areas  — reinforced societal divisions that placed underprivileged groups near pollutant-emitting industrial facilities.</w:t>
      </w:r>
      <w:r>
        <w:rPr>
          <w:sz w:val="20"/>
          <w:szCs w:val="20"/>
          <w:vertAlign w:val="superscript"/>
        </w:rPr>
        <w:footnoteReference w:id="15"/>
      </w:r>
    </w:p>
    <w:p w14:paraId="06C7BC8D" w14:textId="77777777" w:rsidR="0012503D" w:rsidRDefault="00000000">
      <w:pPr>
        <w:widowControl w:val="0"/>
        <w:ind w:firstLine="720"/>
        <w:rPr>
          <w:sz w:val="20"/>
          <w:szCs w:val="20"/>
        </w:rPr>
      </w:pPr>
      <w:r>
        <w:rPr>
          <w:sz w:val="20"/>
          <w:szCs w:val="20"/>
        </w:rPr>
        <w:t>Over time, the placement of marginalized communities near industrial assets had a profound effect. For instance, the environment significantly degraded in Black and immigrant redlined communities in the US.</w:t>
      </w:r>
      <w:r>
        <w:rPr>
          <w:sz w:val="20"/>
          <w:szCs w:val="20"/>
          <w:vertAlign w:val="superscript"/>
        </w:rPr>
        <w:footnoteReference w:id="16"/>
      </w:r>
      <w:r>
        <w:rPr>
          <w:sz w:val="20"/>
          <w:szCs w:val="20"/>
        </w:rPr>
        <w:t xml:space="preserve"> As a result, these communities were exposed to poor air quality and pollutants, and experienced higher rates of negative health outcomes including cardiovascular disease, cancer, and asthma.</w:t>
      </w:r>
      <w:r>
        <w:rPr>
          <w:sz w:val="20"/>
          <w:szCs w:val="20"/>
          <w:vertAlign w:val="superscript"/>
        </w:rPr>
        <w:footnoteReference w:id="17"/>
      </w:r>
      <w:r>
        <w:rPr>
          <w:sz w:val="20"/>
          <w:szCs w:val="20"/>
        </w:rPr>
        <w:t xml:space="preserve"> Due to these issues, marginalized communities organized, as seen in the Warren County protests in 1982.</w:t>
      </w:r>
      <w:r>
        <w:rPr>
          <w:sz w:val="20"/>
          <w:szCs w:val="20"/>
          <w:vertAlign w:val="superscript"/>
        </w:rPr>
        <w:footnoteReference w:id="18"/>
      </w:r>
      <w:r>
        <w:rPr>
          <w:sz w:val="20"/>
          <w:szCs w:val="20"/>
        </w:rPr>
        <w:t xml:space="preserve"> During this event, over 500 civil rights activists and environmentalists were arrested for protesting an illegal landfill emitting cancer-causing pollutants built in a predominantly Black area in North Carolina.</w:t>
      </w:r>
      <w:r>
        <w:rPr>
          <w:sz w:val="20"/>
          <w:szCs w:val="20"/>
          <w:vertAlign w:val="superscript"/>
        </w:rPr>
        <w:footnoteReference w:id="19"/>
      </w:r>
      <w:r>
        <w:rPr>
          <w:sz w:val="20"/>
          <w:szCs w:val="20"/>
        </w:rPr>
        <w:t xml:space="preserve"> In 1991, the First National People of Color Environmental Leadership Summit met in the US capital to discuss this challenge, and developed a report that inspired the creation of the US Office of Environmental Justice (OEJ).</w:t>
      </w:r>
      <w:r>
        <w:rPr>
          <w:sz w:val="20"/>
          <w:szCs w:val="20"/>
          <w:vertAlign w:val="superscript"/>
        </w:rPr>
        <w:footnoteReference w:id="20"/>
      </w:r>
      <w:r>
        <w:rPr>
          <w:sz w:val="20"/>
          <w:szCs w:val="20"/>
        </w:rPr>
        <w:t xml:space="preserve"> In the 1990s and 2000s, this entity coordinated with the Environmental Protection Agency (EPA) to address environmental inequities in American society.</w:t>
      </w:r>
      <w:r>
        <w:rPr>
          <w:sz w:val="20"/>
          <w:szCs w:val="20"/>
          <w:vertAlign w:val="superscript"/>
        </w:rPr>
        <w:footnoteReference w:id="21"/>
      </w:r>
      <w:r>
        <w:rPr>
          <w:sz w:val="20"/>
          <w:szCs w:val="20"/>
        </w:rPr>
        <w:t xml:space="preserve"> Furthermore, the EPA launched the Office of Environmental Justice and External Civil Rights (OEJECR), a spiritual successor to the OEJ, in 2022 under the Biden administration.</w:t>
      </w:r>
      <w:r>
        <w:rPr>
          <w:sz w:val="20"/>
          <w:szCs w:val="20"/>
          <w:vertAlign w:val="superscript"/>
        </w:rPr>
        <w:footnoteReference w:id="22"/>
      </w:r>
      <w:r>
        <w:rPr>
          <w:sz w:val="20"/>
          <w:szCs w:val="20"/>
        </w:rPr>
        <w:t xml:space="preserve"> </w:t>
      </w:r>
    </w:p>
    <w:p w14:paraId="37991C34" w14:textId="77777777" w:rsidR="0012503D" w:rsidRDefault="00000000">
      <w:pPr>
        <w:widowControl w:val="0"/>
        <w:ind w:firstLine="720"/>
        <w:rPr>
          <w:sz w:val="20"/>
          <w:szCs w:val="20"/>
        </w:rPr>
      </w:pPr>
      <w:r>
        <w:rPr>
          <w:sz w:val="20"/>
          <w:szCs w:val="20"/>
        </w:rPr>
        <w:t>Underprivileged communities in other early industrial Member States were also disproportionately exposed to pollutants and experienced adverse health outcomes.</w:t>
      </w:r>
      <w:r>
        <w:rPr>
          <w:sz w:val="20"/>
          <w:szCs w:val="20"/>
          <w:vertAlign w:val="superscript"/>
        </w:rPr>
        <w:footnoteReference w:id="23"/>
      </w:r>
      <w:r>
        <w:rPr>
          <w:sz w:val="20"/>
          <w:szCs w:val="20"/>
        </w:rPr>
        <w:t xml:space="preserve"> During the Cold War, the Soviet Union (USSR) heavily industrialized in non-Russian republics, harming the health and livelihoods of the people living there by contaminating the air, soil, and food with pollutants.</w:t>
      </w:r>
      <w:r>
        <w:rPr>
          <w:sz w:val="20"/>
          <w:szCs w:val="20"/>
          <w:vertAlign w:val="superscript"/>
        </w:rPr>
        <w:footnoteReference w:id="24"/>
      </w:r>
      <w:r>
        <w:rPr>
          <w:sz w:val="20"/>
          <w:szCs w:val="20"/>
        </w:rPr>
        <w:t xml:space="preserve"> In 1996, the European Commission concluded that the most disadvantaged peoples in European cities experienced the worst environmental quality on average.</w:t>
      </w:r>
      <w:r>
        <w:rPr>
          <w:sz w:val="20"/>
          <w:szCs w:val="20"/>
          <w:vertAlign w:val="superscript"/>
        </w:rPr>
        <w:footnoteReference w:id="25"/>
      </w:r>
      <w:r>
        <w:rPr>
          <w:sz w:val="20"/>
          <w:szCs w:val="20"/>
        </w:rPr>
        <w:t xml:space="preserve"> For instance, industrial facilities and transportation corridors in the United Kingdom (UK) were also placed near marginalized communities, creating health risks.</w:t>
      </w:r>
      <w:r>
        <w:rPr>
          <w:sz w:val="20"/>
          <w:szCs w:val="20"/>
          <w:vertAlign w:val="superscript"/>
        </w:rPr>
        <w:footnoteReference w:id="26"/>
      </w:r>
      <w:r>
        <w:rPr>
          <w:sz w:val="20"/>
          <w:szCs w:val="20"/>
        </w:rPr>
        <w:t xml:space="preserve"> As a result, environmental justice advocates in the UK secured initiatives such as the creation of “Clean Air Zones” in cities including London and Birmingham.</w:t>
      </w:r>
      <w:r>
        <w:rPr>
          <w:sz w:val="20"/>
          <w:szCs w:val="20"/>
          <w:vertAlign w:val="superscript"/>
        </w:rPr>
        <w:footnoteReference w:id="27"/>
      </w:r>
      <w:r>
        <w:rPr>
          <w:sz w:val="20"/>
          <w:szCs w:val="20"/>
        </w:rPr>
        <w:t xml:space="preserve"> In France, a 2007 study by Laurian discovered a link between the presence of environmental risks and pollutants with areas with marginalized socioeconomic groups.</w:t>
      </w:r>
      <w:r>
        <w:rPr>
          <w:sz w:val="20"/>
          <w:szCs w:val="20"/>
          <w:vertAlign w:val="superscript"/>
        </w:rPr>
        <w:footnoteReference w:id="28"/>
      </w:r>
      <w:r>
        <w:rPr>
          <w:sz w:val="20"/>
          <w:szCs w:val="20"/>
        </w:rPr>
        <w:t xml:space="preserve"> Since then, France has adopted initiatives aimed at combatting environmental injustice to mitigate these challenges, and civil society organizations such as the Banlieues </w:t>
      </w:r>
      <w:proofErr w:type="spellStart"/>
      <w:r>
        <w:rPr>
          <w:sz w:val="20"/>
          <w:szCs w:val="20"/>
        </w:rPr>
        <w:t>Climat</w:t>
      </w:r>
      <w:proofErr w:type="spellEnd"/>
      <w:r>
        <w:rPr>
          <w:sz w:val="20"/>
          <w:szCs w:val="20"/>
        </w:rPr>
        <w:t xml:space="preserve"> have emerged to protect the French working class from environmental harm.</w:t>
      </w:r>
      <w:r>
        <w:rPr>
          <w:sz w:val="20"/>
          <w:szCs w:val="20"/>
          <w:vertAlign w:val="superscript"/>
        </w:rPr>
        <w:footnoteReference w:id="29"/>
      </w:r>
    </w:p>
    <w:p w14:paraId="07DBCC76" w14:textId="77777777" w:rsidR="0012503D" w:rsidRDefault="0012503D">
      <w:pPr>
        <w:widowControl w:val="0"/>
        <w:ind w:firstLine="720"/>
        <w:rPr>
          <w:sz w:val="20"/>
          <w:szCs w:val="20"/>
        </w:rPr>
      </w:pPr>
    </w:p>
    <w:p w14:paraId="163F8EFB" w14:textId="77777777" w:rsidR="0012503D" w:rsidRDefault="0012503D">
      <w:pPr>
        <w:widowControl w:val="0"/>
        <w:rPr>
          <w:b/>
          <w:bCs/>
          <w:sz w:val="20"/>
          <w:szCs w:val="20"/>
        </w:rPr>
      </w:pPr>
    </w:p>
    <w:p w14:paraId="1F5CEAEF" w14:textId="77777777" w:rsidR="0012503D" w:rsidRDefault="00000000">
      <w:pPr>
        <w:widowControl w:val="0"/>
        <w:rPr>
          <w:b/>
          <w:bCs/>
          <w:sz w:val="20"/>
          <w:szCs w:val="20"/>
        </w:rPr>
      </w:pPr>
      <w:r>
        <w:rPr>
          <w:b/>
          <w:bCs/>
          <w:sz w:val="20"/>
          <w:szCs w:val="20"/>
        </w:rPr>
        <w:t>Current Situation</w:t>
      </w:r>
    </w:p>
    <w:p w14:paraId="4AAD8BB2" w14:textId="77777777" w:rsidR="0012503D" w:rsidRDefault="00000000">
      <w:pPr>
        <w:widowControl w:val="0"/>
        <w:ind w:firstLine="720"/>
        <w:rPr>
          <w:sz w:val="20"/>
          <w:szCs w:val="20"/>
        </w:rPr>
      </w:pPr>
      <w:r>
        <w:rPr>
          <w:sz w:val="20"/>
          <w:szCs w:val="20"/>
        </w:rPr>
        <w:t>Disproportionate environmental burden placed on underprivileged communities is a global phenomenon and has become increasingly prevalent in a world defined by technological and industrial development. The US continues to have major challenges in this regard and some of the highest-profile cases. For instance, Cancer Ally refers to an 85-mile stretch along the Mississippi River in Louisiana hosting over 200 fossil fuel plants.</w:t>
      </w:r>
      <w:r>
        <w:rPr>
          <w:sz w:val="20"/>
          <w:szCs w:val="20"/>
          <w:vertAlign w:val="superscript"/>
        </w:rPr>
        <w:footnoteReference w:id="30"/>
      </w:r>
      <w:r>
        <w:rPr>
          <w:sz w:val="20"/>
          <w:szCs w:val="20"/>
        </w:rPr>
        <w:t xml:space="preserve"> Citizens along Cancer Ally experience significantly higher rates of respiratory illnesses, reproductive harm, and cancer — with one area experiencing seven times the national industrial air pollution-related cancer rate.</w:t>
      </w:r>
      <w:r>
        <w:rPr>
          <w:sz w:val="20"/>
          <w:szCs w:val="20"/>
          <w:vertAlign w:val="superscript"/>
        </w:rPr>
        <w:footnoteReference w:id="31"/>
      </w:r>
      <w:r>
        <w:rPr>
          <w:sz w:val="20"/>
          <w:szCs w:val="20"/>
        </w:rPr>
        <w:t xml:space="preserve"> Furthermore, the South Bronx in the northernmost New York City bureau has long experienced high pollution levels due to its proximity to power plants, waste transfer facilities, and other industries.</w:t>
      </w:r>
      <w:r>
        <w:rPr>
          <w:sz w:val="20"/>
          <w:szCs w:val="20"/>
          <w:vertAlign w:val="superscript"/>
        </w:rPr>
        <w:footnoteReference w:id="32"/>
      </w:r>
      <w:r>
        <w:rPr>
          <w:sz w:val="20"/>
          <w:szCs w:val="20"/>
        </w:rPr>
        <w:t xml:space="preserve"> Mott Haven, a neighborhood in this area, has been referred to as “Asthma Ally” due to respiratory challenges caused by the toxic air.</w:t>
      </w:r>
      <w:r>
        <w:rPr>
          <w:sz w:val="20"/>
          <w:szCs w:val="20"/>
          <w:vertAlign w:val="superscript"/>
        </w:rPr>
        <w:footnoteReference w:id="33"/>
      </w:r>
      <w:r>
        <w:rPr>
          <w:sz w:val="20"/>
          <w:szCs w:val="20"/>
        </w:rPr>
        <w:t xml:space="preserve"> The communities in Cancer Alley and the South Bronx are predominantly black and low-income, demonstrating that they are victims of environmental injustice.</w:t>
      </w:r>
      <w:r>
        <w:rPr>
          <w:sz w:val="20"/>
          <w:szCs w:val="20"/>
          <w:vertAlign w:val="superscript"/>
        </w:rPr>
        <w:footnoteReference w:id="34"/>
      </w:r>
      <w:r>
        <w:rPr>
          <w:sz w:val="20"/>
          <w:szCs w:val="20"/>
        </w:rPr>
        <w:t xml:space="preserve"> Another noteworthy instance of environmental injustice in the US is the case of the indigenous Navajo nation in the American southwest due to extensive uranium mining spanning decades.</w:t>
      </w:r>
      <w:r>
        <w:rPr>
          <w:sz w:val="20"/>
          <w:szCs w:val="20"/>
          <w:vertAlign w:val="superscript"/>
        </w:rPr>
        <w:footnoteReference w:id="35"/>
      </w:r>
      <w:r>
        <w:rPr>
          <w:sz w:val="20"/>
          <w:szCs w:val="20"/>
        </w:rPr>
        <w:t xml:space="preserve"> Citizens of the Navajo nation are disproportionately exposed to toxic waste without their consent through contaminated water and soil, and the life expectancy for men is just 58.8 years old — 20 years younger than the US average of 78.6.</w:t>
      </w:r>
      <w:r>
        <w:rPr>
          <w:sz w:val="20"/>
          <w:szCs w:val="20"/>
          <w:vertAlign w:val="superscript"/>
        </w:rPr>
        <w:footnoteReference w:id="36"/>
      </w:r>
      <w:r>
        <w:rPr>
          <w:sz w:val="20"/>
          <w:szCs w:val="20"/>
        </w:rPr>
        <w:t xml:space="preserve"> All things considered, the US has lots of work to do to aid disadvantaged communities affected by pollution and enact environmental justice, an initiative with an American origin.</w:t>
      </w:r>
      <w:r>
        <w:rPr>
          <w:sz w:val="20"/>
          <w:szCs w:val="20"/>
          <w:vertAlign w:val="superscript"/>
        </w:rPr>
        <w:footnoteReference w:id="37"/>
      </w:r>
    </w:p>
    <w:p w14:paraId="7ED50054" w14:textId="77777777" w:rsidR="0012503D" w:rsidRDefault="00000000">
      <w:pPr>
        <w:widowControl w:val="0"/>
        <w:rPr>
          <w:sz w:val="20"/>
          <w:szCs w:val="20"/>
        </w:rPr>
      </w:pPr>
      <w:r>
        <w:rPr>
          <w:sz w:val="20"/>
          <w:szCs w:val="20"/>
        </w:rPr>
        <w:tab/>
        <w:t>As seen in various dimensions of injustice, pollution and other environmental challenges pose significant threats to the health and wellbeing of people in the Global South. For instance, Ghana is the recipient of high levels of e-waste, which refers to trashed appliances, devices or gadgets.</w:t>
      </w:r>
      <w:r>
        <w:rPr>
          <w:sz w:val="20"/>
          <w:szCs w:val="20"/>
          <w:vertAlign w:val="superscript"/>
        </w:rPr>
        <w:footnoteReference w:id="38"/>
      </w:r>
      <w:r>
        <w:rPr>
          <w:sz w:val="20"/>
          <w:szCs w:val="20"/>
        </w:rPr>
        <w:t xml:space="preserve"> As a result, Ghanaian citizens in some regions are disproportionately exposed to noxious fumes emitted by the e-waste and experience harmful health outcomes.</w:t>
      </w:r>
      <w:r>
        <w:rPr>
          <w:sz w:val="20"/>
          <w:szCs w:val="20"/>
          <w:vertAlign w:val="superscript"/>
        </w:rPr>
        <w:footnoteReference w:id="39"/>
      </w:r>
      <w:r>
        <w:rPr>
          <w:sz w:val="20"/>
          <w:szCs w:val="20"/>
        </w:rPr>
        <w:t xml:space="preserve"> Agbogbloshie is a Ghanaian site in the country’s capital, Accra, that receives 15,000 tons of discarded electronics annually, contaminating the water and air available to residents.</w:t>
      </w:r>
      <w:r>
        <w:rPr>
          <w:sz w:val="20"/>
          <w:szCs w:val="20"/>
          <w:vertAlign w:val="superscript"/>
        </w:rPr>
        <w:footnoteReference w:id="40"/>
      </w:r>
      <w:r>
        <w:rPr>
          <w:sz w:val="20"/>
          <w:szCs w:val="20"/>
        </w:rPr>
        <w:t xml:space="preserve"> Dhaka, Bangladesh, is one of the world’s most densely-populated cities and air pollution levels exceed 15 times the World Health Organization (WHO)’s guidelines.</w:t>
      </w:r>
      <w:r>
        <w:rPr>
          <w:sz w:val="20"/>
          <w:szCs w:val="20"/>
          <w:vertAlign w:val="superscript"/>
        </w:rPr>
        <w:footnoteReference w:id="41"/>
      </w:r>
      <w:r>
        <w:rPr>
          <w:sz w:val="20"/>
          <w:szCs w:val="20"/>
        </w:rPr>
        <w:t xml:space="preserve"> Communities in Dhaka — especially poorer ones — experience long-term health consequences due to their proximity to local polluted rivers and factories.</w:t>
      </w:r>
      <w:r>
        <w:rPr>
          <w:sz w:val="20"/>
          <w:szCs w:val="20"/>
          <w:vertAlign w:val="superscript"/>
        </w:rPr>
        <w:footnoteReference w:id="42"/>
      </w:r>
      <w:r>
        <w:rPr>
          <w:sz w:val="20"/>
          <w:szCs w:val="20"/>
        </w:rPr>
        <w:t xml:space="preserve"> However, citizens in Dhaka also are exposed to pollution from other countries in the Indo Gangetic Plain, including India, Nepal, and Pakistan — and vice versa, as communities in these countries suffer from pollution originating in Bangladesh.</w:t>
      </w:r>
      <w:r>
        <w:rPr>
          <w:sz w:val="20"/>
          <w:szCs w:val="20"/>
          <w:vertAlign w:val="superscript"/>
        </w:rPr>
        <w:footnoteReference w:id="43"/>
      </w:r>
      <w:r>
        <w:rPr>
          <w:sz w:val="20"/>
          <w:szCs w:val="20"/>
        </w:rPr>
        <w:t xml:space="preserve"> These instances demonstrate that environmental injustice is as much of an interstate phenomenon as it is an intrastate one. </w:t>
      </w:r>
    </w:p>
    <w:p w14:paraId="4C7AA075" w14:textId="77777777" w:rsidR="0012503D" w:rsidRDefault="00000000">
      <w:pPr>
        <w:widowControl w:val="0"/>
        <w:rPr>
          <w:b/>
          <w:bCs/>
        </w:rPr>
      </w:pPr>
      <w:r>
        <w:rPr>
          <w:sz w:val="20"/>
          <w:szCs w:val="20"/>
        </w:rPr>
        <w:tab/>
        <w:t xml:space="preserve">The cases of the US, Ghana, and Bangladesh, all demonstrate the global nature and severity of the issue at </w:t>
      </w:r>
      <w:r>
        <w:rPr>
          <w:sz w:val="20"/>
          <w:szCs w:val="20"/>
        </w:rPr>
        <w:lastRenderedPageBreak/>
        <w:t>hand — the disproportionate exposure to pollution by underprivileged communities and prevalence of environmental injustice. Taking this into account, there are various organizations and coalitions looking to address these issues. For instance, the Environmental Defense Fund (EDF) is a nonprofit environmental advocacy group based in both the US and Europe, striving to preserve all peoples’ right to a clean environment, and seeking to dismantle racist and oppressive systems that exacerbate environmental injustice.</w:t>
      </w:r>
      <w:r>
        <w:rPr>
          <w:sz w:val="20"/>
          <w:szCs w:val="20"/>
          <w:vertAlign w:val="superscript"/>
        </w:rPr>
        <w:footnoteReference w:id="44"/>
      </w:r>
      <w:r>
        <w:rPr>
          <w:sz w:val="20"/>
          <w:szCs w:val="20"/>
        </w:rPr>
        <w:t xml:space="preserve"> Furthermore, Earthjustice is a non-governmental organization (NGO) headquartered in San Francisco, California, composed of lawyers committed to environmental justice among other issues.</w:t>
      </w:r>
      <w:r>
        <w:rPr>
          <w:sz w:val="20"/>
          <w:szCs w:val="20"/>
          <w:vertAlign w:val="superscript"/>
        </w:rPr>
        <w:footnoteReference w:id="45"/>
      </w:r>
      <w:r>
        <w:rPr>
          <w:sz w:val="20"/>
          <w:szCs w:val="20"/>
        </w:rPr>
        <w:t xml:space="preserve"> Earthjustice recognizes the greater exposure to pollutants and environmental challenges facing disadvantaged communities, and looks to uphold and shape environmental law via litigation.</w:t>
      </w:r>
      <w:r>
        <w:rPr>
          <w:sz w:val="20"/>
          <w:szCs w:val="20"/>
          <w:vertAlign w:val="superscript"/>
        </w:rPr>
        <w:footnoteReference w:id="46"/>
      </w:r>
      <w:r>
        <w:rPr>
          <w:sz w:val="20"/>
          <w:szCs w:val="20"/>
        </w:rPr>
        <w:t xml:space="preserve"> Region-specific organizations such as the Centre for Environmental Rights (CER) in South Africa and the Centre for Environmental Justice (CEJ) in Sri Lanka seek to address environmental inequities in their respective locations.</w:t>
      </w:r>
      <w:r>
        <w:rPr>
          <w:sz w:val="20"/>
          <w:szCs w:val="20"/>
          <w:vertAlign w:val="superscript"/>
        </w:rPr>
        <w:footnoteReference w:id="47"/>
      </w:r>
      <w:r>
        <w:rPr>
          <w:sz w:val="20"/>
          <w:szCs w:val="20"/>
        </w:rPr>
        <w:t xml:space="preserve"> Both the CER and CEJ use litigation and advocacy to achieve their environmental justice objectives.</w:t>
      </w:r>
      <w:r>
        <w:rPr>
          <w:sz w:val="20"/>
          <w:szCs w:val="20"/>
          <w:vertAlign w:val="superscript"/>
        </w:rPr>
        <w:footnoteReference w:id="48"/>
      </w:r>
      <w:r>
        <w:rPr>
          <w:sz w:val="20"/>
          <w:szCs w:val="20"/>
        </w:rPr>
        <w:t xml:space="preserve"> All in all, there are various organizations — including the EDF, Earthjustice, the CER, and the CEJ — seeking to reduce the pollution-induced harm on disadvantaged communities and administer environmental justice.</w:t>
      </w:r>
    </w:p>
    <w:p w14:paraId="176A91C8" w14:textId="77777777" w:rsidR="0012503D" w:rsidRDefault="0012503D">
      <w:pPr>
        <w:widowControl w:val="0"/>
        <w:rPr>
          <w:b/>
          <w:bCs/>
          <w:sz w:val="20"/>
          <w:szCs w:val="20"/>
        </w:rPr>
      </w:pPr>
    </w:p>
    <w:p w14:paraId="6E6760FF" w14:textId="77777777" w:rsidR="0012503D" w:rsidRDefault="00000000">
      <w:pPr>
        <w:widowControl w:val="0"/>
        <w:rPr>
          <w:b/>
          <w:bCs/>
          <w:sz w:val="20"/>
          <w:szCs w:val="20"/>
        </w:rPr>
      </w:pPr>
      <w:r>
        <w:rPr>
          <w:b/>
          <w:bCs/>
          <w:sz w:val="20"/>
          <w:szCs w:val="20"/>
        </w:rPr>
        <w:t>Actions Taken by the UN</w:t>
      </w:r>
    </w:p>
    <w:p w14:paraId="0F011173" w14:textId="77777777" w:rsidR="0012503D" w:rsidRDefault="0012503D">
      <w:pPr>
        <w:widowControl w:val="0"/>
        <w:rPr>
          <w:sz w:val="20"/>
          <w:szCs w:val="20"/>
        </w:rPr>
      </w:pPr>
    </w:p>
    <w:p w14:paraId="3707112A" w14:textId="77777777" w:rsidR="0012503D" w:rsidRDefault="00000000">
      <w:pPr>
        <w:rPr>
          <w:sz w:val="20"/>
          <w:szCs w:val="20"/>
        </w:rPr>
      </w:pPr>
      <w:r>
        <w:rPr>
          <w:sz w:val="20"/>
          <w:szCs w:val="20"/>
        </w:rPr>
        <w:tab/>
        <w:t>The UN seeks to mitigate the disproportionate exposure to pollution experienced by underprivileged communities and enact environmental justice, and has taken steps to do so. For instance, the UNEP — the secretariat and implementation body governed by the UNEA — has taken significant strides. In 2001, the UNEP administered the Stockholm Convention on Persistent Organic Pollutants (POPs), a global agreement committed to restricting the use of these pollutants.</w:t>
      </w:r>
      <w:r>
        <w:rPr>
          <w:sz w:val="20"/>
          <w:szCs w:val="20"/>
          <w:vertAlign w:val="superscript"/>
        </w:rPr>
        <w:footnoteReference w:id="49"/>
      </w:r>
      <w:r>
        <w:rPr>
          <w:sz w:val="20"/>
          <w:szCs w:val="20"/>
        </w:rPr>
        <w:t xml:space="preserve"> POPs are long-lasting chemicals that accumulate in the air and within humans, creating serious health risks, especially for the marginalized communities who are most at risk for exposure.</w:t>
      </w:r>
      <w:r>
        <w:rPr>
          <w:sz w:val="20"/>
          <w:szCs w:val="20"/>
          <w:vertAlign w:val="superscript"/>
        </w:rPr>
        <w:footnoteReference w:id="50"/>
      </w:r>
      <w:r>
        <w:rPr>
          <w:sz w:val="20"/>
          <w:szCs w:val="20"/>
        </w:rPr>
        <w:t xml:space="preserve"> Since the Stockholm Convention’s implementation in 2004, many Member States have experienced significant reductions in POPs observed in their air, soil, and water, and additional chemicals have been added to the list of banned substances as research has emerged.</w:t>
      </w:r>
      <w:r>
        <w:rPr>
          <w:sz w:val="20"/>
          <w:szCs w:val="20"/>
          <w:vertAlign w:val="superscript"/>
        </w:rPr>
        <w:footnoteReference w:id="51"/>
      </w:r>
      <w:r>
        <w:rPr>
          <w:sz w:val="20"/>
          <w:szCs w:val="20"/>
        </w:rPr>
        <w:t xml:space="preserve"> In 2013, the UNEP adopted the Minamata Convention on Mercury, aiming to eliminate mercury — a substance linked to neurological and developmental defects — from products and industrial processes used in Member States.</w:t>
      </w:r>
      <w:r>
        <w:rPr>
          <w:sz w:val="20"/>
          <w:szCs w:val="20"/>
          <w:vertAlign w:val="superscript"/>
        </w:rPr>
        <w:footnoteReference w:id="52"/>
      </w:r>
      <w:r>
        <w:rPr>
          <w:sz w:val="20"/>
          <w:szCs w:val="20"/>
        </w:rPr>
        <w:t xml:space="preserve"> Since poor mining communities, indigenous peoples, and underprivileged people relying on contaminated water are at a higher risk of experiencing high rates of mercury exposures, this convention underscores the UNEP’s commitment to advancing environmental justice.</w:t>
      </w:r>
      <w:r>
        <w:rPr>
          <w:sz w:val="20"/>
          <w:szCs w:val="20"/>
          <w:vertAlign w:val="superscript"/>
        </w:rPr>
        <w:footnoteReference w:id="53"/>
      </w:r>
      <w:r>
        <w:rPr>
          <w:sz w:val="20"/>
          <w:szCs w:val="20"/>
        </w:rPr>
        <w:t xml:space="preserve"> Since the Minamata Convention has gone into effect in 2017, many Member States have eliminated mercury in products and industrial processes, but regulatory challenges remain due to limited monitoring and enforcement resources.</w:t>
      </w:r>
      <w:r>
        <w:rPr>
          <w:sz w:val="20"/>
          <w:szCs w:val="20"/>
          <w:vertAlign w:val="superscript"/>
        </w:rPr>
        <w:footnoteReference w:id="54"/>
      </w:r>
    </w:p>
    <w:p w14:paraId="252A4E6D" w14:textId="77777777" w:rsidR="0012503D" w:rsidRDefault="00000000">
      <w:pPr>
        <w:rPr>
          <w:sz w:val="20"/>
          <w:szCs w:val="20"/>
        </w:rPr>
      </w:pPr>
      <w:r>
        <w:rPr>
          <w:sz w:val="20"/>
          <w:szCs w:val="20"/>
        </w:rPr>
        <w:tab/>
        <w:t xml:space="preserve">Apart from these conventions, the UNEP provides research and practical support aiding communities hurt by pollution and supporting environmental justice initiatives. Firstly, the UNEP incorporates these objectives in its </w:t>
      </w:r>
      <w:r>
        <w:rPr>
          <w:i/>
          <w:iCs/>
          <w:sz w:val="20"/>
          <w:szCs w:val="20"/>
        </w:rPr>
        <w:t xml:space="preserve">Global Environmental Outlook </w:t>
      </w:r>
      <w:r>
        <w:rPr>
          <w:sz w:val="20"/>
          <w:szCs w:val="20"/>
        </w:rPr>
        <w:t>(GEO) series, where the international organization assesses the global environment, environmental policymaking, and makes predictions.</w:t>
      </w:r>
      <w:r>
        <w:rPr>
          <w:sz w:val="20"/>
          <w:szCs w:val="20"/>
          <w:vertAlign w:val="superscript"/>
        </w:rPr>
        <w:footnoteReference w:id="55"/>
      </w:r>
      <w:r>
        <w:rPr>
          <w:sz w:val="20"/>
          <w:szCs w:val="20"/>
        </w:rPr>
        <w:t xml:space="preserve"> In the fifth and sixth editions of the GEO, the UNEP argued that impoverished communities experience higher levels of pollution exposure, and that this phenomenon reinforces </w:t>
      </w:r>
      <w:r>
        <w:rPr>
          <w:sz w:val="20"/>
          <w:szCs w:val="20"/>
        </w:rPr>
        <w:lastRenderedPageBreak/>
        <w:t>their poverty.</w:t>
      </w:r>
      <w:r>
        <w:rPr>
          <w:sz w:val="20"/>
          <w:szCs w:val="20"/>
          <w:vertAlign w:val="superscript"/>
        </w:rPr>
        <w:footnoteReference w:id="56"/>
      </w:r>
      <w:r>
        <w:rPr>
          <w:sz w:val="20"/>
          <w:szCs w:val="20"/>
        </w:rPr>
        <w:t xml:space="preserve"> Furthermore, the UNEP developed Strata, an online mapping tool utilizing geospatial imagery and identifying hotspots where climate and environmentally-stressed areas converge with socioeconomically-challenged areas.</w:t>
      </w:r>
      <w:r>
        <w:rPr>
          <w:sz w:val="20"/>
          <w:szCs w:val="20"/>
          <w:vertAlign w:val="superscript"/>
        </w:rPr>
        <w:footnoteReference w:id="57"/>
      </w:r>
      <w:r>
        <w:rPr>
          <w:sz w:val="20"/>
          <w:szCs w:val="20"/>
        </w:rPr>
        <w:t xml:space="preserve"> This allows activists, researchers, and policymakers across Member States to better identify vulnerable regions and adjust their initiatives accordingly.</w:t>
      </w:r>
      <w:r>
        <w:rPr>
          <w:sz w:val="20"/>
          <w:szCs w:val="20"/>
          <w:vertAlign w:val="superscript"/>
        </w:rPr>
        <w:footnoteReference w:id="58"/>
      </w:r>
      <w:r>
        <w:rPr>
          <w:sz w:val="20"/>
          <w:szCs w:val="20"/>
        </w:rPr>
        <w:t xml:space="preserve"> Ultimately, the UNEP has played a major role in aiding marginalized communities affected by pollution and enacting environmental justice.</w:t>
      </w:r>
    </w:p>
    <w:p w14:paraId="630F8117" w14:textId="77777777" w:rsidR="0012503D" w:rsidRDefault="00000000">
      <w:pPr>
        <w:ind w:firstLine="720"/>
        <w:rPr>
          <w:sz w:val="20"/>
          <w:szCs w:val="20"/>
        </w:rPr>
      </w:pPr>
      <w:r>
        <w:rPr>
          <w:sz w:val="20"/>
          <w:szCs w:val="20"/>
        </w:rPr>
        <w:t>The Human Rights Council (HRC) has played a role in addressing the issues at hand. In the 48th session of the HRC, the international community recognized the fundamental right to a “clean, healthy, and sustainable environment” for all peoples.</w:t>
      </w:r>
      <w:r>
        <w:rPr>
          <w:sz w:val="20"/>
          <w:szCs w:val="20"/>
          <w:vertAlign w:val="superscript"/>
        </w:rPr>
        <w:footnoteReference w:id="59"/>
      </w:r>
      <w:r>
        <w:rPr>
          <w:sz w:val="20"/>
          <w:szCs w:val="20"/>
        </w:rPr>
        <w:t xml:space="preserve"> This statement made in October 2021 was groundbreaking since it suggested that enacting environmental justice was necessary in upholding human rights. Since, the HRC has taken several steps to uphold its commitment to this fundamental right. Firstly, the Office of the United Nations High Commissioner for Human Rights (OHCHR) — the UN’s human rights watchdog investigating violations around the globe — has since incorporated protecting peoples’ right to a clean, healthy, and sustainable environment into its mandate.</w:t>
      </w:r>
      <w:r>
        <w:rPr>
          <w:sz w:val="20"/>
          <w:szCs w:val="20"/>
          <w:vertAlign w:val="superscript"/>
        </w:rPr>
        <w:footnoteReference w:id="60"/>
      </w:r>
      <w:r>
        <w:rPr>
          <w:sz w:val="20"/>
          <w:szCs w:val="20"/>
        </w:rPr>
        <w:t xml:space="preserve">  Furthermore, the HRC appoints a ‘Special Rapporteur on the Human Right to a Healthy Environment’ assigned to identifying how environmental harm disproportionately affects marginalized communities, investigating specific cases, and advising governments on the implementation of environmental justice policy</w:t>
      </w:r>
      <w:r>
        <w:rPr>
          <w:sz w:val="20"/>
          <w:szCs w:val="20"/>
          <w:vertAlign w:val="superscript"/>
        </w:rPr>
        <w:footnoteReference w:id="61"/>
      </w:r>
      <w:r>
        <w:rPr>
          <w:sz w:val="20"/>
          <w:szCs w:val="20"/>
        </w:rPr>
        <w:t>. Canadian lawyer and diplomat David R. Boyd has been the Special Rapporteur in this field since 2018, influencing UN policy and conducting visits to Member States when complaints about environmental injustice arise.</w:t>
      </w:r>
      <w:r>
        <w:rPr>
          <w:sz w:val="20"/>
          <w:szCs w:val="20"/>
          <w:vertAlign w:val="superscript"/>
        </w:rPr>
        <w:footnoteReference w:id="62"/>
      </w:r>
      <w:r>
        <w:rPr>
          <w:sz w:val="20"/>
          <w:szCs w:val="20"/>
        </w:rPr>
        <w:t xml:space="preserve"> These initiatives demonstrate the HRC’s efforts to mitigate pollution-induced harm experienced by underprivileged communities and implement environmental justice.</w:t>
      </w:r>
    </w:p>
    <w:p w14:paraId="64D832DC" w14:textId="77777777" w:rsidR="0012503D" w:rsidRDefault="0012503D">
      <w:pPr>
        <w:ind w:firstLine="720"/>
        <w:rPr>
          <w:sz w:val="20"/>
          <w:szCs w:val="20"/>
        </w:rPr>
      </w:pPr>
    </w:p>
    <w:p w14:paraId="55240427" w14:textId="77777777" w:rsidR="0012503D" w:rsidRDefault="00000000">
      <w:pPr>
        <w:rPr>
          <w:b/>
          <w:bCs/>
          <w:sz w:val="20"/>
          <w:szCs w:val="20"/>
        </w:rPr>
      </w:pPr>
      <w:r>
        <w:rPr>
          <w:b/>
          <w:bCs/>
          <w:sz w:val="20"/>
          <w:szCs w:val="20"/>
        </w:rPr>
        <w:t>Conclusion</w:t>
      </w:r>
    </w:p>
    <w:p w14:paraId="61C02B07" w14:textId="77777777" w:rsidR="0012503D" w:rsidRDefault="0012503D">
      <w:pPr>
        <w:rPr>
          <w:b/>
          <w:bCs/>
          <w:sz w:val="20"/>
          <w:szCs w:val="20"/>
        </w:rPr>
      </w:pPr>
    </w:p>
    <w:p w14:paraId="243F83BC" w14:textId="77777777" w:rsidR="0012503D" w:rsidRDefault="00000000">
      <w:pPr>
        <w:rPr>
          <w:sz w:val="20"/>
          <w:szCs w:val="20"/>
        </w:rPr>
      </w:pPr>
      <w:r>
        <w:rPr>
          <w:sz w:val="20"/>
          <w:szCs w:val="20"/>
        </w:rPr>
        <w:tab/>
        <w:t>The UNEA’s aim to aid communities disproportionately affected by pollution and administer environmental justice is an initiative that seeks to dismantle an issue that has affected the health and livelihoods of people across Member States since the advent of the Industrial Revolution.</w:t>
      </w:r>
      <w:r>
        <w:rPr>
          <w:sz w:val="20"/>
          <w:szCs w:val="20"/>
          <w:vertAlign w:val="superscript"/>
        </w:rPr>
        <w:footnoteReference w:id="63"/>
      </w:r>
      <w:r>
        <w:rPr>
          <w:sz w:val="20"/>
          <w:szCs w:val="20"/>
        </w:rPr>
        <w:t xml:space="preserve"> Cases such as that of the Warren County protests and development of “clean air zones” illustrate action in the historical record taken to mitigate the problem, against a backdrop of discrimination and malpractice reinforcing environmental injustice.</w:t>
      </w:r>
      <w:r>
        <w:rPr>
          <w:sz w:val="20"/>
          <w:szCs w:val="20"/>
          <w:vertAlign w:val="superscript"/>
        </w:rPr>
        <w:footnoteReference w:id="64"/>
      </w:r>
      <w:r>
        <w:rPr>
          <w:sz w:val="20"/>
          <w:szCs w:val="20"/>
        </w:rPr>
        <w:t xml:space="preserve"> Furthermore, modern efforts by organizations such as the EDF, Earthjustice, and the UN demonstrate that the international community is still working to mitigate these challenges.</w:t>
      </w:r>
      <w:r>
        <w:rPr>
          <w:sz w:val="20"/>
          <w:szCs w:val="20"/>
          <w:vertAlign w:val="superscript"/>
        </w:rPr>
        <w:footnoteReference w:id="65"/>
      </w:r>
      <w:r>
        <w:rPr>
          <w:sz w:val="20"/>
          <w:szCs w:val="20"/>
        </w:rPr>
        <w:t xml:space="preserve"> That being said, the current situation suggests that there are still millions around the globe victim to disproportionate exposure to pollution and environmental injustice. Thus, this issue remains unsolved and must be addressed to protect the welfare and health of disadvantaged communities across the globe.</w:t>
      </w:r>
    </w:p>
    <w:p w14:paraId="33AD951F" w14:textId="77777777" w:rsidR="0012503D" w:rsidRDefault="0012503D">
      <w:pPr>
        <w:rPr>
          <w:sz w:val="20"/>
          <w:szCs w:val="20"/>
        </w:rPr>
      </w:pPr>
    </w:p>
    <w:p w14:paraId="253E873A" w14:textId="77777777" w:rsidR="0012503D" w:rsidRDefault="00000000">
      <w:pPr>
        <w:rPr>
          <w:sz w:val="20"/>
          <w:szCs w:val="20"/>
        </w:rPr>
      </w:pPr>
      <w:r>
        <w:rPr>
          <w:b/>
          <w:bCs/>
          <w:sz w:val="20"/>
          <w:szCs w:val="20"/>
        </w:rPr>
        <w:t>Committee Directive</w:t>
      </w:r>
    </w:p>
    <w:p w14:paraId="6AD6820D" w14:textId="77777777" w:rsidR="0012503D" w:rsidRDefault="0012503D">
      <w:pPr>
        <w:rPr>
          <w:sz w:val="20"/>
          <w:szCs w:val="20"/>
        </w:rPr>
      </w:pPr>
    </w:p>
    <w:p w14:paraId="42481F97" w14:textId="77777777" w:rsidR="0012503D" w:rsidRDefault="00000000">
      <w:pPr>
        <w:rPr>
          <w:sz w:val="20"/>
          <w:szCs w:val="20"/>
        </w:rPr>
      </w:pPr>
      <w:r>
        <w:rPr>
          <w:sz w:val="20"/>
          <w:szCs w:val="20"/>
        </w:rPr>
        <w:tab/>
        <w:t xml:space="preserve">Delegates should thoughtfully consider the topic from both angles — how can the UNEA aid communities affected by pollution and administer environmental justice? Furthermore, delegates must take into account the </w:t>
      </w:r>
      <w:r>
        <w:rPr>
          <w:sz w:val="20"/>
          <w:szCs w:val="20"/>
        </w:rPr>
        <w:lastRenderedPageBreak/>
        <w:t>intrastate nature of environmental injustice, as seen in cases such as Cancer Alley in the US — and interstate nature of environmental injustice, as seen in cases such as Ghana and Bangladesh whose pollution and environmental injustice problems often stem from outside sources.  Furthermore, delegates should answer how the UNEP successfully implements the recommendations made by the UNEA between sessions. Also, how will the UNEP coordinate with other organs of the UN such as the HRC to accomplish their mutual goals? Delegates should answer all of these questions and provide insightful, creative, and effective recommendations to address the persisting challenges encompassing this multidimensional topic.</w:t>
      </w:r>
    </w:p>
    <w:p w14:paraId="63F0A8DD" w14:textId="77777777" w:rsidR="0012503D" w:rsidRDefault="0012503D">
      <w:pPr>
        <w:ind w:firstLine="720"/>
        <w:rPr>
          <w:sz w:val="20"/>
          <w:szCs w:val="20"/>
        </w:rPr>
      </w:pPr>
    </w:p>
    <w:p w14:paraId="228B0B4A" w14:textId="77777777" w:rsidR="0012503D" w:rsidRDefault="00000000">
      <w:pPr>
        <w:rPr>
          <w:sz w:val="20"/>
          <w:szCs w:val="20"/>
        </w:rPr>
      </w:pPr>
      <w:r>
        <w:rPr>
          <w:sz w:val="20"/>
          <w:szCs w:val="20"/>
        </w:rPr>
        <w:tab/>
      </w:r>
    </w:p>
    <w:p w14:paraId="4B3CEA07" w14:textId="77777777" w:rsidR="0012503D" w:rsidRDefault="0012503D">
      <w:pPr>
        <w:rPr>
          <w:sz w:val="20"/>
          <w:szCs w:val="20"/>
        </w:rPr>
      </w:pPr>
    </w:p>
    <w:p w14:paraId="7AEAE7B4" w14:textId="77777777" w:rsidR="0012503D" w:rsidRDefault="0012503D">
      <w:pPr>
        <w:ind w:firstLine="720"/>
        <w:rPr>
          <w:sz w:val="20"/>
          <w:szCs w:val="20"/>
        </w:rPr>
      </w:pPr>
    </w:p>
    <w:p w14:paraId="20C7EA71" w14:textId="77777777" w:rsidR="0012503D" w:rsidRDefault="00000000">
      <w:r>
        <w:br w:type="page"/>
      </w:r>
    </w:p>
    <w:p w14:paraId="3079A2E1" w14:textId="77777777" w:rsidR="0012503D" w:rsidRDefault="0012503D"/>
    <w:p w14:paraId="456A638F" w14:textId="77777777" w:rsidR="0012503D" w:rsidRDefault="0012503D">
      <w:pPr>
        <w:widowControl w:val="0"/>
        <w:ind w:right="2587"/>
        <w:rPr>
          <w:sz w:val="20"/>
          <w:szCs w:val="20"/>
        </w:rPr>
      </w:pPr>
    </w:p>
    <w:p w14:paraId="1D7A4C47" w14:textId="77777777" w:rsidR="0012503D" w:rsidRDefault="00000000">
      <w:pPr>
        <w:numPr>
          <w:ilvl w:val="0"/>
          <w:numId w:val="2"/>
        </w:numPr>
        <w:rPr>
          <w:b/>
          <w:bCs/>
          <w:sz w:val="22"/>
          <w:szCs w:val="22"/>
        </w:rPr>
      </w:pPr>
      <w:r>
        <w:rPr>
          <w:b/>
          <w:bCs/>
        </w:rPr>
        <w:t>Addressing and Mitigating the Environmental Impacts of Artificial Intelligence</w:t>
      </w:r>
    </w:p>
    <w:p w14:paraId="77CD05C6" w14:textId="77777777" w:rsidR="0012503D" w:rsidRDefault="0012503D">
      <w:pPr>
        <w:widowControl w:val="0"/>
        <w:ind w:right="2587"/>
        <w:rPr>
          <w:sz w:val="20"/>
          <w:szCs w:val="20"/>
        </w:rPr>
      </w:pPr>
    </w:p>
    <w:p w14:paraId="0F636FCC" w14:textId="77777777" w:rsidR="0012503D" w:rsidRDefault="00000000">
      <w:pPr>
        <w:widowControl w:val="0"/>
        <w:ind w:right="2587"/>
        <w:rPr>
          <w:b/>
          <w:bCs/>
          <w:i/>
          <w:iCs/>
          <w:sz w:val="20"/>
          <w:szCs w:val="20"/>
        </w:rPr>
      </w:pPr>
      <w:r>
        <w:rPr>
          <w:b/>
          <w:bCs/>
          <w:i/>
          <w:iCs/>
          <w:sz w:val="20"/>
          <w:szCs w:val="20"/>
        </w:rPr>
        <w:t>Introduction</w:t>
      </w:r>
    </w:p>
    <w:p w14:paraId="74C4AA1E" w14:textId="77777777" w:rsidR="0012503D" w:rsidRDefault="0012503D">
      <w:pPr>
        <w:widowControl w:val="0"/>
        <w:ind w:right="2587"/>
        <w:rPr>
          <w:b/>
          <w:bCs/>
          <w:i/>
          <w:iCs/>
          <w:sz w:val="20"/>
          <w:szCs w:val="20"/>
        </w:rPr>
        <w:sectPr w:rsidR="0012503D">
          <w:headerReference w:type="default" r:id="rId8"/>
          <w:footerReference w:type="default" r:id="rId9"/>
          <w:headerReference w:type="first" r:id="rId10"/>
          <w:footerReference w:type="first" r:id="rId11"/>
          <w:pgSz w:w="12240" w:h="15840"/>
          <w:pgMar w:top="1440" w:right="1440" w:bottom="1440" w:left="1440" w:header="720" w:footer="720" w:gutter="0"/>
          <w:pgNumType w:start="1"/>
          <w:cols w:space="720"/>
          <w:titlePg/>
        </w:sectPr>
      </w:pPr>
    </w:p>
    <w:p w14:paraId="37BF25E7" w14:textId="77777777" w:rsidR="0012503D" w:rsidRDefault="00000000">
      <w:pPr>
        <w:widowControl w:val="0"/>
        <w:ind w:firstLine="720"/>
        <w:rPr>
          <w:sz w:val="20"/>
          <w:szCs w:val="20"/>
        </w:rPr>
      </w:pPr>
      <w:r>
        <w:rPr>
          <w:sz w:val="20"/>
          <w:szCs w:val="20"/>
        </w:rPr>
        <w:t>Artificial Intelligence (AI) encompasses the systems or machines that perform tasks that typically require human intelligence and can improve themselves over time based on the information they collect.</w:t>
      </w:r>
      <w:r>
        <w:rPr>
          <w:sz w:val="20"/>
          <w:szCs w:val="20"/>
          <w:vertAlign w:val="superscript"/>
        </w:rPr>
        <w:footnoteReference w:id="66"/>
      </w:r>
      <w:r>
        <w:rPr>
          <w:sz w:val="20"/>
          <w:szCs w:val="20"/>
        </w:rPr>
        <w:t xml:space="preserve"> In recent years, the use of AI has become increasingly common in the modern world, being integrated in technology, healthcare, finance, education, media and entertainment, manufacturing, among other sectors.</w:t>
      </w:r>
      <w:r>
        <w:rPr>
          <w:sz w:val="20"/>
          <w:szCs w:val="20"/>
          <w:vertAlign w:val="superscript"/>
        </w:rPr>
        <w:footnoteReference w:id="67"/>
      </w:r>
      <w:r>
        <w:rPr>
          <w:sz w:val="20"/>
          <w:szCs w:val="20"/>
        </w:rPr>
        <w:t xml:space="preserve"> </w:t>
      </w:r>
    </w:p>
    <w:p w14:paraId="3B1DE310" w14:textId="77777777" w:rsidR="0012503D" w:rsidRDefault="00000000">
      <w:pPr>
        <w:widowControl w:val="0"/>
        <w:ind w:firstLine="720"/>
        <w:rPr>
          <w:sz w:val="20"/>
          <w:szCs w:val="20"/>
        </w:rPr>
      </w:pPr>
      <w:r>
        <w:rPr>
          <w:sz w:val="20"/>
          <w:szCs w:val="20"/>
        </w:rPr>
        <w:t>The explosion of AI technologies in recent years, however, has also sparked concerns regarding the environmental impact of data centers that house AI servers. These data centers are large consumers of water, electricity, and produce large quantities of electronic waste.</w:t>
      </w:r>
      <w:r>
        <w:rPr>
          <w:sz w:val="20"/>
          <w:szCs w:val="20"/>
          <w:vertAlign w:val="superscript"/>
        </w:rPr>
        <w:footnoteReference w:id="68"/>
      </w:r>
      <w:r>
        <w:rPr>
          <w:sz w:val="20"/>
          <w:szCs w:val="20"/>
        </w:rPr>
        <w:t xml:space="preserve">  Overconsumption of water is a concern as large data centers can consume up to 5 million gallons per day, meanwhile water grows increasingly scarce in many regions due to drought and water shortages.</w:t>
      </w:r>
      <w:r>
        <w:rPr>
          <w:sz w:val="20"/>
          <w:szCs w:val="20"/>
          <w:vertAlign w:val="superscript"/>
        </w:rPr>
        <w:footnoteReference w:id="69"/>
      </w:r>
      <w:r>
        <w:rPr>
          <w:sz w:val="20"/>
          <w:szCs w:val="20"/>
        </w:rPr>
        <w:t xml:space="preserve"> Additionally, the massive electricity generation from these centers emits greenhouse gases, such as carbon dioxide, that contribute to climate change. Electronic waste is particularly harmful to the environment as it often contains substances like mercury and lead.</w:t>
      </w:r>
      <w:r>
        <w:rPr>
          <w:sz w:val="20"/>
          <w:szCs w:val="20"/>
          <w:vertAlign w:val="superscript"/>
        </w:rPr>
        <w:footnoteReference w:id="70"/>
      </w:r>
      <w:r>
        <w:rPr>
          <w:sz w:val="20"/>
          <w:szCs w:val="20"/>
        </w:rPr>
        <w:t xml:space="preserve"> These centers also require the mining of rare materials, an often-unsustainable practice that disrupts ecosystems and exposes humans to hazardous conditions.</w:t>
      </w:r>
      <w:r>
        <w:rPr>
          <w:sz w:val="20"/>
          <w:szCs w:val="20"/>
          <w:vertAlign w:val="superscript"/>
        </w:rPr>
        <w:t>4</w:t>
      </w:r>
      <w:r>
        <w:rPr>
          <w:sz w:val="20"/>
          <w:szCs w:val="20"/>
        </w:rPr>
        <w:t xml:space="preserve"> That being said, the rapid growth of AI may cause significant environmental challenges, so it is a critical issue for the United Nations Environmental Agency to address. </w:t>
      </w:r>
    </w:p>
    <w:p w14:paraId="049CB5FB" w14:textId="77777777" w:rsidR="0012503D" w:rsidRDefault="0012503D">
      <w:pPr>
        <w:widowControl w:val="0"/>
        <w:ind w:firstLine="720"/>
        <w:rPr>
          <w:sz w:val="20"/>
          <w:szCs w:val="20"/>
        </w:rPr>
      </w:pPr>
    </w:p>
    <w:p w14:paraId="0AFE1782" w14:textId="77777777" w:rsidR="0012503D" w:rsidRDefault="00000000">
      <w:pPr>
        <w:widowControl w:val="0"/>
        <w:rPr>
          <w:b/>
          <w:bCs/>
          <w:i/>
          <w:iCs/>
          <w:sz w:val="20"/>
          <w:szCs w:val="20"/>
        </w:rPr>
      </w:pPr>
      <w:r>
        <w:rPr>
          <w:b/>
          <w:bCs/>
          <w:i/>
          <w:iCs/>
          <w:sz w:val="20"/>
          <w:szCs w:val="20"/>
        </w:rPr>
        <w:t xml:space="preserve">History </w:t>
      </w:r>
    </w:p>
    <w:p w14:paraId="50D887FA" w14:textId="77777777" w:rsidR="0012503D" w:rsidRDefault="0012503D">
      <w:pPr>
        <w:widowControl w:val="0"/>
        <w:rPr>
          <w:b/>
          <w:bCs/>
          <w:i/>
          <w:iCs/>
          <w:sz w:val="20"/>
          <w:szCs w:val="20"/>
        </w:rPr>
      </w:pPr>
    </w:p>
    <w:p w14:paraId="1DE5730A" w14:textId="77777777" w:rsidR="0012503D" w:rsidRDefault="00000000">
      <w:pPr>
        <w:widowControl w:val="0"/>
        <w:ind w:firstLine="720"/>
        <w:rPr>
          <w:sz w:val="20"/>
          <w:szCs w:val="20"/>
          <w:vertAlign w:val="superscript"/>
        </w:rPr>
      </w:pPr>
      <w:r>
        <w:rPr>
          <w:sz w:val="20"/>
          <w:szCs w:val="20"/>
        </w:rPr>
        <w:t>The inception of the concept of AI dates back to Jonathan Swift's 1726 novel “Gulliver’s Travels”, which introduced the idea of The Engine, a machine that has the capability to generate ideas, sentences, and books.</w:t>
      </w:r>
      <w:r>
        <w:rPr>
          <w:sz w:val="20"/>
          <w:szCs w:val="20"/>
          <w:vertAlign w:val="superscript"/>
        </w:rPr>
        <w:t>6</w:t>
      </w:r>
      <w:r>
        <w:rPr>
          <w:sz w:val="20"/>
          <w:szCs w:val="20"/>
        </w:rPr>
        <w:t xml:space="preserve"> It was the technological and scientific advancements in the first half of the 20</w:t>
      </w:r>
      <w:r>
        <w:rPr>
          <w:sz w:val="20"/>
          <w:szCs w:val="20"/>
          <w:vertAlign w:val="superscript"/>
        </w:rPr>
        <w:t>th</w:t>
      </w:r>
      <w:r>
        <w:rPr>
          <w:sz w:val="20"/>
          <w:szCs w:val="20"/>
        </w:rPr>
        <w:t xml:space="preserve"> century that laid the foundation for modern AI, exemplified through innovations in self-automated machinery, electronic computations, concepts such as deep learning. In 1914, Spanish engineer Leonardo Torres y Quevedo developed the first fully automated chess-playing machine using electromagnets.</w:t>
      </w:r>
      <w:r>
        <w:rPr>
          <w:sz w:val="20"/>
          <w:szCs w:val="20"/>
          <w:vertAlign w:val="superscript"/>
        </w:rPr>
        <w:t>6</w:t>
      </w:r>
      <w:r>
        <w:rPr>
          <w:sz w:val="20"/>
          <w:szCs w:val="20"/>
        </w:rPr>
        <w:t xml:space="preserve"> In 1939, John Vincent Atanasoff, American professor of physics and mathematics,  created the Atanasoff-Berry Computer (ABC), serving as a milestone in computing and AI as one of the earliest digital computers.</w:t>
      </w:r>
      <w:r>
        <w:rPr>
          <w:sz w:val="20"/>
          <w:szCs w:val="20"/>
          <w:vertAlign w:val="superscript"/>
        </w:rPr>
        <w:t>6</w:t>
      </w:r>
      <w:r>
        <w:rPr>
          <w:sz w:val="20"/>
          <w:szCs w:val="20"/>
        </w:rPr>
        <w:t xml:space="preserve"> The Turing Test, developed by British mathematician Alan Turing in 1950, became a central AI groundwork to “measure machine intelligence by assessing a machine’s ability to convincingly mimic human conversation and behavior”.</w:t>
      </w:r>
      <w:r>
        <w:rPr>
          <w:sz w:val="20"/>
          <w:szCs w:val="20"/>
          <w:vertAlign w:val="superscript"/>
        </w:rPr>
        <w:t>6</w:t>
      </w:r>
    </w:p>
    <w:p w14:paraId="067B0BB8" w14:textId="77777777" w:rsidR="0012503D" w:rsidRDefault="00000000">
      <w:pPr>
        <w:widowControl w:val="0"/>
        <w:ind w:firstLine="720"/>
        <w:rPr>
          <w:sz w:val="20"/>
          <w:szCs w:val="20"/>
          <w:vertAlign w:val="superscript"/>
        </w:rPr>
      </w:pPr>
      <w:r>
        <w:rPr>
          <w:sz w:val="20"/>
          <w:szCs w:val="20"/>
        </w:rPr>
        <w:t xml:space="preserve">Between 1950-2000, notable advancements were made in </w:t>
      </w:r>
      <w:proofErr w:type="spellStart"/>
      <w:r>
        <w:rPr>
          <w:sz w:val="20"/>
          <w:szCs w:val="20"/>
        </w:rPr>
        <w:t>AIlearning</w:t>
      </w:r>
      <w:proofErr w:type="spellEnd"/>
      <w:r>
        <w:rPr>
          <w:sz w:val="20"/>
          <w:szCs w:val="20"/>
        </w:rPr>
        <w:t xml:space="preserve"> processes, the term “Artificial Intelligence” being first officially coined in 1955. In 1951, American computer scientists Marvin Minsky and Dean Edmunds developed the Stochastic Neural Analog Reinforcement Calculator (SNARC), an early attempt to model human brain learning processes.</w:t>
      </w:r>
      <w:r>
        <w:rPr>
          <w:sz w:val="20"/>
          <w:szCs w:val="20"/>
          <w:vertAlign w:val="superscript"/>
        </w:rPr>
        <w:t xml:space="preserve">6 </w:t>
      </w:r>
      <w:r>
        <w:rPr>
          <w:sz w:val="20"/>
          <w:szCs w:val="20"/>
        </w:rPr>
        <w:t xml:space="preserve">In 1988, British computer scientist Rollo Carpenter developed </w:t>
      </w:r>
      <w:proofErr w:type="spellStart"/>
      <w:r>
        <w:rPr>
          <w:sz w:val="20"/>
          <w:szCs w:val="20"/>
        </w:rPr>
        <w:t>Jabberwacky</w:t>
      </w:r>
      <w:proofErr w:type="spellEnd"/>
      <w:r>
        <w:rPr>
          <w:sz w:val="20"/>
          <w:szCs w:val="20"/>
        </w:rPr>
        <w:t>, an early chatbot designed to simulate human-like conversations and learn from human interactions. American Richard Wallace created A.L.I.C.E (Artificial Linguistic Internet Computer Entity) in 1995, which utilized information from the World Wide Web to simulate conversation, influencing modern AI assistants.</w:t>
      </w:r>
      <w:r>
        <w:rPr>
          <w:sz w:val="20"/>
          <w:szCs w:val="20"/>
          <w:vertAlign w:val="superscript"/>
        </w:rPr>
        <w:t xml:space="preserve">6 </w:t>
      </w:r>
      <w:r>
        <w:rPr>
          <w:sz w:val="20"/>
          <w:szCs w:val="20"/>
        </w:rPr>
        <w:t>Between 2000 and 2020, more rapid advancements were made, exemplified through Apple’s launch of Siri, an automated voice assistant, in 2011 and Amazon’s Alexa in 2014.</w:t>
      </w:r>
      <w:r>
        <w:rPr>
          <w:sz w:val="20"/>
          <w:szCs w:val="20"/>
          <w:vertAlign w:val="superscript"/>
        </w:rPr>
        <w:t>6</w:t>
      </w:r>
    </w:p>
    <w:p w14:paraId="397D5774" w14:textId="77777777" w:rsidR="0012503D" w:rsidRDefault="0012503D">
      <w:pPr>
        <w:widowControl w:val="0"/>
        <w:rPr>
          <w:sz w:val="20"/>
          <w:szCs w:val="20"/>
        </w:rPr>
      </w:pPr>
    </w:p>
    <w:p w14:paraId="1890CD2B" w14:textId="77777777" w:rsidR="0012503D" w:rsidRDefault="00000000">
      <w:pPr>
        <w:widowControl w:val="0"/>
        <w:rPr>
          <w:vertAlign w:val="superscript"/>
        </w:rPr>
      </w:pPr>
      <w:r>
        <w:rPr>
          <w:sz w:val="20"/>
          <w:szCs w:val="20"/>
        </w:rPr>
        <w:t>In 2020, OpenAI introduced GPT-3, one of the most advanced AI models to date, demonstrating the ability to generate text, engage in conversations, translate languages, and more based on human language prompts.</w:t>
      </w:r>
      <w:r>
        <w:rPr>
          <w:sz w:val="20"/>
          <w:szCs w:val="20"/>
          <w:vertAlign w:val="superscript"/>
        </w:rPr>
        <w:t xml:space="preserve">6 </w:t>
      </w:r>
      <w:r>
        <w:rPr>
          <w:sz w:val="20"/>
          <w:szCs w:val="20"/>
        </w:rPr>
        <w:t xml:space="preserve">ChatGPT was pivotal in facilitating the widespread use of AI by the public for everyday tasks. Today, AI has grown to be an </w:t>
      </w:r>
      <w:r>
        <w:rPr>
          <w:sz w:val="20"/>
          <w:szCs w:val="20"/>
        </w:rPr>
        <w:lastRenderedPageBreak/>
        <w:t>ever-present force across several modern sectors. The</w:t>
      </w:r>
      <w:r>
        <w:rPr>
          <w:sz w:val="20"/>
          <w:szCs w:val="20"/>
          <w:vertAlign w:val="superscript"/>
        </w:rPr>
        <w:footnoteReference w:id="71"/>
      </w:r>
      <w:r>
        <w:rPr>
          <w:sz w:val="20"/>
          <w:szCs w:val="20"/>
        </w:rPr>
        <w:t xml:space="preserve"> number of AI data centers has experienced exponential growth, surging to 8 million from 500,000 in 2012.</w:t>
      </w:r>
      <w:r>
        <w:rPr>
          <w:sz w:val="20"/>
          <w:szCs w:val="20"/>
          <w:vertAlign w:val="superscript"/>
        </w:rPr>
        <w:t>7</w:t>
      </w:r>
      <w:r>
        <w:rPr>
          <w:sz w:val="20"/>
          <w:szCs w:val="20"/>
        </w:rPr>
        <w:t xml:space="preserve"> Remaining on this trajectory of innovation within AI, the environmental impact is only expected to grow. By 2040, “it is expected that the emissions from the Information and Communications Technology (ICT) industry as a whole will reach 14% of the global emissions</w:t>
      </w:r>
    </w:p>
    <w:p w14:paraId="061B9DCD" w14:textId="77777777" w:rsidR="0012503D" w:rsidRDefault="0012503D">
      <w:pPr>
        <w:widowControl w:val="0"/>
        <w:rPr>
          <w:vertAlign w:val="superscript"/>
        </w:rPr>
      </w:pPr>
    </w:p>
    <w:p w14:paraId="6C817745" w14:textId="77777777" w:rsidR="0012503D" w:rsidRDefault="00000000">
      <w:pPr>
        <w:widowControl w:val="0"/>
        <w:ind w:right="2587"/>
        <w:rPr>
          <w:b/>
          <w:bCs/>
          <w:sz w:val="20"/>
          <w:szCs w:val="20"/>
        </w:rPr>
      </w:pPr>
      <w:r>
        <w:rPr>
          <w:b/>
          <w:bCs/>
          <w:sz w:val="20"/>
          <w:szCs w:val="20"/>
        </w:rPr>
        <w:t>Current Situation</w:t>
      </w:r>
    </w:p>
    <w:p w14:paraId="3DC97BF1" w14:textId="77777777" w:rsidR="0012503D" w:rsidRDefault="0012503D">
      <w:pPr>
        <w:widowControl w:val="0"/>
        <w:ind w:right="2587"/>
        <w:rPr>
          <w:b/>
          <w:bCs/>
          <w:sz w:val="20"/>
          <w:szCs w:val="20"/>
        </w:rPr>
      </w:pPr>
    </w:p>
    <w:p w14:paraId="75A49959" w14:textId="77777777" w:rsidR="0012503D" w:rsidRDefault="00000000">
      <w:pPr>
        <w:ind w:firstLine="720"/>
        <w:rPr>
          <w:sz w:val="20"/>
          <w:szCs w:val="20"/>
        </w:rPr>
      </w:pPr>
      <w:r>
        <w:rPr>
          <w:sz w:val="20"/>
          <w:szCs w:val="20"/>
        </w:rPr>
        <w:t>AI holds vast potential for aiding environmental conservation efforts through efforts such as more accurate modeling of weather patterns, monitoring greenhouse gas emissions, and predictions of the future population of species.</w:t>
      </w:r>
      <w:r>
        <w:rPr>
          <w:sz w:val="20"/>
          <w:szCs w:val="20"/>
          <w:vertAlign w:val="superscript"/>
        </w:rPr>
        <w:footnoteReference w:id="72"/>
      </w:r>
      <w:r>
        <w:rPr>
          <w:sz w:val="20"/>
          <w:szCs w:val="20"/>
        </w:rPr>
        <w:t xml:space="preserve"> Nevertheless, today, such technologies also exert growing pressure on the natural environment in ways that merit immediate attention. Large-scale AI infrastructure such as data </w:t>
      </w:r>
      <w:proofErr w:type="spellStart"/>
      <w:r>
        <w:rPr>
          <w:sz w:val="20"/>
          <w:szCs w:val="20"/>
        </w:rPr>
        <w:t>centres</w:t>
      </w:r>
      <w:proofErr w:type="spellEnd"/>
      <w:r>
        <w:rPr>
          <w:sz w:val="20"/>
          <w:szCs w:val="20"/>
        </w:rPr>
        <w:t xml:space="preserve"> and high-performance computing clusters demand tremendous amounts of electricity, cooling, and rare-earth minerals. Such inputs have environmentally fraught supply chains that contribute to greenhouse gas emissions, pollution of the water supply, e-waste, and droughts.</w:t>
      </w:r>
      <w:r>
        <w:rPr>
          <w:sz w:val="20"/>
          <w:szCs w:val="20"/>
          <w:vertAlign w:val="superscript"/>
        </w:rPr>
        <w:footnoteReference w:id="73"/>
      </w:r>
      <w:r>
        <w:rPr>
          <w:sz w:val="20"/>
          <w:szCs w:val="20"/>
        </w:rPr>
        <w:t xml:space="preserve">  The extraction of cobalt, nickel, and other rare-earth minerals alone has been linked to toxic runoff, deforestation, and community displacement in the member-states of the Democratic Republic of the Congo</w:t>
      </w:r>
      <w:r>
        <w:rPr>
          <w:sz w:val="20"/>
          <w:szCs w:val="20"/>
          <w:vertAlign w:val="superscript"/>
        </w:rPr>
        <w:footnoteReference w:id="74"/>
      </w:r>
      <w:r>
        <w:rPr>
          <w:sz w:val="20"/>
          <w:szCs w:val="20"/>
        </w:rPr>
        <w:t xml:space="preserve"> and the Republic of Indonesia.</w:t>
      </w:r>
      <w:r>
        <w:rPr>
          <w:sz w:val="20"/>
          <w:szCs w:val="20"/>
          <w:vertAlign w:val="superscript"/>
        </w:rPr>
        <w:footnoteReference w:id="75"/>
      </w:r>
      <w:r>
        <w:rPr>
          <w:sz w:val="20"/>
          <w:szCs w:val="20"/>
        </w:rPr>
        <w:t xml:space="preserve"> </w:t>
      </w:r>
    </w:p>
    <w:p w14:paraId="469BF281" w14:textId="77777777" w:rsidR="0012503D" w:rsidRDefault="00000000">
      <w:pPr>
        <w:ind w:firstLine="720"/>
        <w:rPr>
          <w:sz w:val="20"/>
          <w:szCs w:val="20"/>
        </w:rPr>
      </w:pPr>
      <w:r>
        <w:rPr>
          <w:sz w:val="20"/>
          <w:szCs w:val="20"/>
        </w:rPr>
        <w:t>Data-</w:t>
      </w:r>
      <w:proofErr w:type="spellStart"/>
      <w:r>
        <w:rPr>
          <w:sz w:val="20"/>
          <w:szCs w:val="20"/>
        </w:rPr>
        <w:t>centre</w:t>
      </w:r>
      <w:proofErr w:type="spellEnd"/>
      <w:r>
        <w:rPr>
          <w:sz w:val="20"/>
          <w:szCs w:val="20"/>
        </w:rPr>
        <w:t xml:space="preserve"> electricity consumption remains on an upward trajectory, and the United Nations Environmental </w:t>
      </w:r>
      <w:proofErr w:type="spellStart"/>
      <w:r>
        <w:rPr>
          <w:sz w:val="20"/>
          <w:szCs w:val="20"/>
        </w:rPr>
        <w:t>Programme</w:t>
      </w:r>
      <w:proofErr w:type="spellEnd"/>
      <w:r>
        <w:rPr>
          <w:sz w:val="20"/>
          <w:szCs w:val="20"/>
        </w:rPr>
        <w:t xml:space="preserve"> (UNEP) reports that digitalization (including AI) contributes to nearly 4% of global greenhouse-gas emissions, a share comparable to that of the worldwide airline industry.</w:t>
      </w:r>
      <w:r>
        <w:rPr>
          <w:sz w:val="20"/>
          <w:szCs w:val="20"/>
          <w:vertAlign w:val="superscript"/>
        </w:rPr>
        <w:footnoteReference w:id="76"/>
      </w:r>
      <w:r>
        <w:rPr>
          <w:sz w:val="20"/>
          <w:szCs w:val="20"/>
        </w:rPr>
        <w:t xml:space="preserve"> Water-use is another major concern: large computing installations use significant volumes of water for cooling, and the increasing demand could stress regions already under water scarcity.</w:t>
      </w:r>
      <w:r>
        <w:rPr>
          <w:sz w:val="20"/>
          <w:szCs w:val="20"/>
          <w:vertAlign w:val="superscript"/>
        </w:rPr>
        <w:footnoteReference w:id="77"/>
      </w:r>
      <w:r>
        <w:rPr>
          <w:sz w:val="20"/>
          <w:szCs w:val="20"/>
        </w:rPr>
        <w:t xml:space="preserve"> In particular, computing installations tend to be placed in </w:t>
      </w:r>
      <w:r>
        <w:t xml:space="preserve">regions </w:t>
      </w:r>
      <w:r>
        <w:rPr>
          <w:sz w:val="20"/>
          <w:szCs w:val="20"/>
        </w:rPr>
        <w:t>with access to cheap electricity or land; such regions tend to also be regions with weak infrastructure and underdeveloped economies leading to concerns about environmental exploitation. Every stage of the life-cycle of AI, from primary resource extraction to operation, and finally waste must therefore be carefully scrutinized individually because each stage poses unique resource burdens.</w:t>
      </w:r>
      <w:r>
        <w:rPr>
          <w:sz w:val="20"/>
          <w:szCs w:val="20"/>
          <w:vertAlign w:val="superscript"/>
        </w:rPr>
        <w:footnoteReference w:id="78"/>
      </w:r>
    </w:p>
    <w:p w14:paraId="67B30C69" w14:textId="77777777" w:rsidR="0012503D" w:rsidRDefault="0012503D">
      <w:pPr>
        <w:ind w:firstLine="720"/>
        <w:rPr>
          <w:sz w:val="20"/>
          <w:szCs w:val="20"/>
        </w:rPr>
      </w:pPr>
    </w:p>
    <w:p w14:paraId="5AF01845" w14:textId="77777777" w:rsidR="0012503D" w:rsidRDefault="00000000">
      <w:pPr>
        <w:rPr>
          <w:b/>
          <w:bCs/>
          <w:sz w:val="20"/>
          <w:szCs w:val="20"/>
        </w:rPr>
      </w:pPr>
      <w:r>
        <w:rPr>
          <w:b/>
          <w:bCs/>
          <w:sz w:val="20"/>
          <w:szCs w:val="20"/>
        </w:rPr>
        <w:t>Actions taken by the United Nations</w:t>
      </w:r>
    </w:p>
    <w:p w14:paraId="47E00022" w14:textId="77777777" w:rsidR="0012503D" w:rsidRDefault="00000000">
      <w:pPr>
        <w:ind w:firstLine="720"/>
        <w:rPr>
          <w:sz w:val="20"/>
          <w:szCs w:val="20"/>
        </w:rPr>
      </w:pPr>
      <w:r>
        <w:rPr>
          <w:sz w:val="20"/>
          <w:szCs w:val="20"/>
        </w:rPr>
        <w:t>Despite the advent of AI being a rather recent development, the United Nations has moved quickly to recognize the environmental implications of digital technologies and has incorporated these concerns into several high-level frameworks. Yet there is still much work to be done. For instance, UNEP has issued multiple reports since 2022 urging Member States to account for the carbon, water, and mineral footprint of AI systems.</w:t>
      </w:r>
      <w:r>
        <w:rPr>
          <w:sz w:val="20"/>
          <w:szCs w:val="20"/>
          <w:vertAlign w:val="superscript"/>
        </w:rPr>
        <w:footnoteReference w:id="79"/>
      </w:r>
      <w:r>
        <w:rPr>
          <w:sz w:val="20"/>
          <w:szCs w:val="20"/>
        </w:rPr>
        <w:t xml:space="preserve"> These reports provide critical guidance to Member States on how best to monitor AIs environmental impact holistically. UNESCO’s Recommendation on the Ethics of Artificial Intelligence (adopted 2021, updated 2023) includes a dedicated sustainability pillar calling on states to regulate AI’s environmental impact through energy-efficiency standards, transparent reporting, and restrictions on harmful mining practices.</w:t>
      </w:r>
      <w:r>
        <w:rPr>
          <w:sz w:val="20"/>
          <w:szCs w:val="20"/>
          <w:vertAlign w:val="superscript"/>
        </w:rPr>
        <w:footnoteReference w:id="80"/>
      </w:r>
      <w:r>
        <w:rPr>
          <w:sz w:val="20"/>
          <w:szCs w:val="20"/>
        </w:rPr>
        <w:t xml:space="preserve"> More than fifty Member States have begun to implement policies in accordance with these recommendations. While such actions have provided a strong </w:t>
      </w:r>
      <w:r>
        <w:rPr>
          <w:sz w:val="20"/>
          <w:szCs w:val="20"/>
        </w:rPr>
        <w:lastRenderedPageBreak/>
        <w:t xml:space="preserve">baseline for action on the member-state level, there are still significant gaps that need to be addressed at the international level; particularly in addressing the economic incentives that drive reckless expansion of AI systems. </w:t>
      </w:r>
    </w:p>
    <w:p w14:paraId="7771F5DC" w14:textId="77777777" w:rsidR="0012503D" w:rsidRDefault="00000000">
      <w:pPr>
        <w:ind w:firstLine="720"/>
        <w:rPr>
          <w:sz w:val="20"/>
          <w:szCs w:val="20"/>
        </w:rPr>
      </w:pPr>
      <w:r>
        <w:rPr>
          <w:sz w:val="20"/>
          <w:szCs w:val="20"/>
        </w:rPr>
        <w:t>Furthermore, the UNEA has taken decisive action to leverage the potential of artificial intelligence in addressing environmental issues.</w:t>
      </w:r>
      <w:r>
        <w:rPr>
          <w:sz w:val="20"/>
          <w:szCs w:val="20"/>
          <w:vertAlign w:val="superscript"/>
        </w:rPr>
        <w:footnoteReference w:id="81"/>
      </w:r>
      <w:r>
        <w:rPr>
          <w:sz w:val="20"/>
          <w:szCs w:val="20"/>
        </w:rPr>
        <w:t xml:space="preserve"> UNEA Resolution 4/3 created real incentives for improvements to data-interoperability capabilities as well as expansions in the scale of data ecosystems and data access.</w:t>
      </w:r>
      <w:r>
        <w:rPr>
          <w:sz w:val="20"/>
          <w:szCs w:val="20"/>
          <w:vertAlign w:val="superscript"/>
        </w:rPr>
        <w:footnoteReference w:id="82"/>
      </w:r>
      <w:r>
        <w:rPr>
          <w:sz w:val="20"/>
          <w:szCs w:val="20"/>
        </w:rPr>
        <w:t xml:space="preserve">  By building out baseline international standards that can be used by conservationist NGOs worldwide, the UNEA has provided a boon that will aid conservation efforts for decades to come. Similarly General Assembly Resolution A/RES/78/265, Seizing the opportunities of safe, secure and trustworthy artificial intelligence systems for sustainable development, encourages Member States to assess the environmental impact of AI systems, strengthen cross-border cooperation on supply-chain transparency and employ sustainable computing infrastructure in conservation efforts.</w:t>
      </w:r>
      <w:r>
        <w:rPr>
          <w:sz w:val="20"/>
          <w:szCs w:val="20"/>
          <w:vertAlign w:val="superscript"/>
        </w:rPr>
        <w:footnoteReference w:id="83"/>
      </w:r>
      <w:r>
        <w:rPr>
          <w:sz w:val="20"/>
          <w:szCs w:val="20"/>
        </w:rPr>
        <w:t xml:space="preserve"> The resolution stops short of setting specific targets but signals a growing consensus that environmental considerations must be integrated into global AI governance. The International Telecommunications Union has also established technical standards for green data centers and launched the Green Digital Action Framework at COP28, calling for reductions in water and electricity consumption across the ICT sector.</w:t>
      </w:r>
      <w:r>
        <w:rPr>
          <w:sz w:val="20"/>
          <w:szCs w:val="20"/>
          <w:vertAlign w:val="superscript"/>
        </w:rPr>
        <w:footnoteReference w:id="84"/>
      </w:r>
      <w:r>
        <w:rPr>
          <w:sz w:val="20"/>
          <w:szCs w:val="20"/>
        </w:rPr>
        <w:t xml:space="preserve"> Finally, delegates may look to existing international agreements tackling conservation in the digital age like the Basel Convention for guidance and structure in managing similar issues like excess e-waste created by AI data </w:t>
      </w:r>
      <w:proofErr w:type="spellStart"/>
      <w:r>
        <w:rPr>
          <w:sz w:val="20"/>
          <w:szCs w:val="20"/>
        </w:rPr>
        <w:t>centres</w:t>
      </w:r>
      <w:proofErr w:type="spellEnd"/>
      <w:r>
        <w:rPr>
          <w:sz w:val="20"/>
          <w:szCs w:val="20"/>
        </w:rPr>
        <w:t>.</w:t>
      </w:r>
      <w:r>
        <w:rPr>
          <w:sz w:val="20"/>
          <w:szCs w:val="20"/>
          <w:vertAlign w:val="superscript"/>
        </w:rPr>
        <w:footnoteReference w:id="85"/>
      </w:r>
    </w:p>
    <w:p w14:paraId="69F1ED22" w14:textId="77777777" w:rsidR="0012503D" w:rsidRDefault="0012503D">
      <w:pPr>
        <w:rPr>
          <w:b/>
          <w:bCs/>
        </w:rPr>
      </w:pPr>
    </w:p>
    <w:p w14:paraId="01232711" w14:textId="77777777" w:rsidR="0012503D" w:rsidRDefault="00000000">
      <w:pPr>
        <w:rPr>
          <w:b/>
          <w:bCs/>
          <w:i/>
          <w:iCs/>
          <w:sz w:val="20"/>
          <w:szCs w:val="20"/>
        </w:rPr>
      </w:pPr>
      <w:r>
        <w:rPr>
          <w:b/>
          <w:bCs/>
          <w:i/>
          <w:iCs/>
          <w:sz w:val="20"/>
          <w:szCs w:val="20"/>
        </w:rPr>
        <w:t xml:space="preserve">Conclusion </w:t>
      </w:r>
    </w:p>
    <w:p w14:paraId="3C9E785D" w14:textId="77777777" w:rsidR="0012503D" w:rsidRDefault="0012503D">
      <w:pPr>
        <w:rPr>
          <w:sz w:val="20"/>
          <w:szCs w:val="20"/>
        </w:rPr>
      </w:pPr>
    </w:p>
    <w:p w14:paraId="267C62AD" w14:textId="77777777" w:rsidR="0012503D" w:rsidRDefault="00000000">
      <w:pPr>
        <w:ind w:firstLine="720"/>
        <w:rPr>
          <w:sz w:val="20"/>
          <w:szCs w:val="20"/>
        </w:rPr>
      </w:pPr>
      <w:r>
        <w:rPr>
          <w:sz w:val="20"/>
          <w:szCs w:val="20"/>
        </w:rPr>
        <w:t>While AI has the potential to monitor certain environmental issues, it also directly contributes to global environmental crises due to its data housing centers. These crises include global warming due to CO2 emissions, droughts and shortages due to overconsumption of water, increased electronic waste, and ecosystem disruption due to unsustainable mineral mining. While some multilateral action has been taken in order to address the environmental impact of AI, further concrete action needs to be taken as AI continues on a path of exponential growth.</w:t>
      </w:r>
    </w:p>
    <w:p w14:paraId="0CE25274" w14:textId="77777777" w:rsidR="0012503D" w:rsidRDefault="0012503D">
      <w:pPr>
        <w:rPr>
          <w:sz w:val="20"/>
          <w:szCs w:val="20"/>
        </w:rPr>
      </w:pPr>
    </w:p>
    <w:p w14:paraId="6181EA2E" w14:textId="77777777" w:rsidR="0012503D" w:rsidRDefault="00000000">
      <w:pPr>
        <w:rPr>
          <w:b/>
          <w:bCs/>
          <w:i/>
          <w:iCs/>
          <w:sz w:val="20"/>
          <w:szCs w:val="20"/>
        </w:rPr>
      </w:pPr>
      <w:r>
        <w:rPr>
          <w:b/>
          <w:bCs/>
          <w:i/>
          <w:iCs/>
          <w:sz w:val="20"/>
          <w:szCs w:val="20"/>
        </w:rPr>
        <w:t xml:space="preserve">Committee Directive </w:t>
      </w:r>
    </w:p>
    <w:p w14:paraId="5001CFD6" w14:textId="77777777" w:rsidR="0012503D" w:rsidRDefault="0012503D">
      <w:pPr>
        <w:rPr>
          <w:b/>
          <w:bCs/>
          <w:i/>
          <w:iCs/>
          <w:sz w:val="20"/>
          <w:szCs w:val="20"/>
        </w:rPr>
      </w:pPr>
    </w:p>
    <w:p w14:paraId="708F1882" w14:textId="77777777" w:rsidR="0012503D" w:rsidRDefault="00000000">
      <w:pPr>
        <w:rPr>
          <w:vertAlign w:val="superscript"/>
        </w:rPr>
        <w:sectPr w:rsidR="0012503D">
          <w:type w:val="continuous"/>
          <w:pgSz w:w="12240" w:h="15840"/>
          <w:pgMar w:top="1440" w:right="1440" w:bottom="1440" w:left="1440" w:header="720" w:footer="720" w:gutter="0"/>
          <w:cols w:space="720" w:equalWidth="0">
            <w:col w:w="9360" w:space="0"/>
          </w:cols>
        </w:sectPr>
      </w:pPr>
      <w:r>
        <w:rPr>
          <w:b/>
          <w:bCs/>
          <w:i/>
          <w:iCs/>
          <w:sz w:val="20"/>
          <w:szCs w:val="20"/>
        </w:rPr>
        <w:tab/>
      </w:r>
      <w:r>
        <w:rPr>
          <w:sz w:val="20"/>
          <w:szCs w:val="20"/>
        </w:rPr>
        <w:t>In considering the relatively new environmental impacts caused by AI, Delegates should collaborate to create methods to address this issue as AI continues to extend across modern sectors. Delegates should consider the following questions when writing their Position Paper: What are the environmental implications of AI use? What are the differing levels of environmental impact amongst developing and developed Member States? How can Member States mitigate the environmental impact of AI, whilst continuing to reap its technological benefits? How can Member States make AI data centers more environmentally sustainable within their own borders? Delegates should focus on adding to established legislation, programs, and/or initiatives.</w:t>
      </w:r>
    </w:p>
    <w:p w14:paraId="3CAC3647" w14:textId="77777777" w:rsidR="0012503D" w:rsidRDefault="0012503D">
      <w:pPr>
        <w:rPr>
          <w:sz w:val="20"/>
          <w:szCs w:val="20"/>
        </w:rPr>
      </w:pPr>
    </w:p>
    <w:sectPr w:rsidR="0012503D">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7CF229" w14:textId="77777777" w:rsidR="00986D52" w:rsidRDefault="00986D52">
      <w:r>
        <w:separator/>
      </w:r>
    </w:p>
  </w:endnote>
  <w:endnote w:type="continuationSeparator" w:id="0">
    <w:p w14:paraId="692078AA" w14:textId="77777777" w:rsidR="00986D52" w:rsidRDefault="00986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4FC018F-2BAB-0441-9503-09397071A0EB}"/>
    <w:embedBold r:id="rId2" w:fontKey="{3E62C5A9-B5BC-1F43-A0E5-A934FFD20EF0}"/>
    <w:embedItalic r:id="rId3" w:fontKey="{C026B37D-A7FD-F74F-AEE9-9E6D86C00944}"/>
    <w:embedBoldItalic r:id="rId4" w:fontKey="{3D10C32F-B231-754F-BF41-B19EEB953570}"/>
  </w:font>
  <w:font w:name="Arial">
    <w:panose1 w:val="020B0604020202020204"/>
    <w:charset w:val="00"/>
    <w:family w:val="swiss"/>
    <w:pitch w:val="variable"/>
    <w:sig w:usb0="E0002AFF" w:usb1="C0007843" w:usb2="00000009" w:usb3="00000000" w:csb0="000001FF" w:csb1="00000000"/>
    <w:embedRegular r:id="rId5" w:fontKey="{AFC58E8B-AF02-524A-A633-75E255DE7DE2}"/>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embedRegular r:id="rId6" w:fontKey="{61C371A0-1662-164E-BFDF-B35D8EBE4DDA}"/>
  </w:font>
  <w:font w:name="Cambria">
    <w:panose1 w:val="02040503050406030204"/>
    <w:charset w:val="00"/>
    <w:family w:val="roman"/>
    <w:pitch w:val="variable"/>
    <w:sig w:usb0="E00006FF" w:usb1="420024FF" w:usb2="02000000" w:usb3="00000000" w:csb0="0000019F" w:csb1="00000000"/>
    <w:embedRegular r:id="rId7" w:fontKey="{AFBE5339-35D7-BA42-BEDC-C39439DD4B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B72CE" w14:textId="77777777" w:rsidR="0012503D" w:rsidRDefault="0012503D"/>
  <w:p w14:paraId="07002FF1" w14:textId="77777777" w:rsidR="0012503D" w:rsidRDefault="0012503D">
    <w:pPr>
      <w:rPr>
        <w:vertAlign w:val="superscript"/>
      </w:rPr>
    </w:pPr>
  </w:p>
  <w:p w14:paraId="2D3BE1A1" w14:textId="77777777" w:rsidR="0012503D" w:rsidRDefault="0012503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A0818" w14:textId="77777777" w:rsidR="0012503D" w:rsidRDefault="001250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F8C843" w14:textId="77777777" w:rsidR="00986D52" w:rsidRDefault="00986D52">
      <w:r>
        <w:separator/>
      </w:r>
    </w:p>
  </w:footnote>
  <w:footnote w:type="continuationSeparator" w:id="0">
    <w:p w14:paraId="1737350C" w14:textId="77777777" w:rsidR="00986D52" w:rsidRDefault="00986D52">
      <w:r>
        <w:continuationSeparator/>
      </w:r>
    </w:p>
  </w:footnote>
  <w:footnote w:id="1">
    <w:p w14:paraId="4726C53E" w14:textId="77777777" w:rsidR="0012503D" w:rsidRDefault="00000000">
      <w:pPr>
        <w:ind w:left="720" w:hanging="720"/>
      </w:pPr>
      <w:r>
        <w:rPr>
          <w:vertAlign w:val="superscript"/>
        </w:rPr>
        <w:footnoteRef/>
      </w:r>
      <w:r>
        <w:t xml:space="preserve"> “Historically Marginalised Groups – Definition and Explanation,” </w:t>
      </w:r>
      <w:r>
        <w:rPr>
          <w:i/>
          <w:iCs/>
        </w:rPr>
        <w:t>The Oxford Review Briefings,</w:t>
      </w:r>
      <w:r>
        <w:t xml:space="preserve"> accessed December 21, 2025, </w:t>
      </w:r>
      <w:hyperlink r:id="rId1">
        <w:r>
          <w:rPr>
            <w:color w:val="1155CC"/>
            <w:u w:val="single"/>
          </w:rPr>
          <w:t>https://oxford-review.com/the-oxford-review-dei-diversity-equity-and-inclusion-dictionary/historically-marginalised-groups-definition-and-explanation/#</w:t>
        </w:r>
      </w:hyperlink>
      <w:r>
        <w:t xml:space="preserve">. </w:t>
      </w:r>
    </w:p>
  </w:footnote>
  <w:footnote w:id="2">
    <w:p w14:paraId="3569C699" w14:textId="77777777" w:rsidR="0012503D" w:rsidRDefault="00000000">
      <w:pPr>
        <w:ind w:left="720" w:hanging="720"/>
      </w:pPr>
      <w:r>
        <w:rPr>
          <w:vertAlign w:val="superscript"/>
        </w:rPr>
        <w:footnoteRef/>
      </w:r>
      <w:r>
        <w:t xml:space="preserve"> Maudlyne Ihejirika,. “What Is Environmental Racism?”</w:t>
      </w:r>
      <w:r>
        <w:rPr>
          <w:i/>
          <w:iCs/>
        </w:rPr>
        <w:t xml:space="preserve"> NRDC,</w:t>
      </w:r>
      <w:r>
        <w:t xml:space="preserve"> May 24, 2023. </w:t>
      </w:r>
      <w:hyperlink r:id="rId2">
        <w:r>
          <w:rPr>
            <w:color w:val="1155CC"/>
            <w:u w:val="single"/>
          </w:rPr>
          <w:t>https://www.nrdc.org/stories/what-environmental-racism</w:t>
        </w:r>
      </w:hyperlink>
      <w:r>
        <w:t xml:space="preserve">. </w:t>
      </w:r>
    </w:p>
  </w:footnote>
  <w:footnote w:id="3">
    <w:p w14:paraId="35F4A4B7" w14:textId="77777777" w:rsidR="0012503D" w:rsidRDefault="00000000">
      <w:pPr>
        <w:rPr>
          <w:sz w:val="20"/>
          <w:szCs w:val="20"/>
        </w:rPr>
      </w:pPr>
      <w:r>
        <w:rPr>
          <w:vertAlign w:val="superscript"/>
        </w:rPr>
        <w:footnoteRef/>
      </w:r>
      <w:r>
        <w:t xml:space="preserve"> Maudlyne Ihejirika,. “What Is Environmental Racism?”</w:t>
      </w:r>
    </w:p>
  </w:footnote>
  <w:footnote w:id="4">
    <w:p w14:paraId="055FBEC0" w14:textId="77777777" w:rsidR="0012503D" w:rsidRDefault="00000000">
      <w:pPr>
        <w:rPr>
          <w:sz w:val="20"/>
          <w:szCs w:val="20"/>
        </w:rPr>
      </w:pPr>
      <w:r>
        <w:rPr>
          <w:vertAlign w:val="superscript"/>
        </w:rPr>
        <w:footnoteRef/>
      </w:r>
      <w:r>
        <w:t xml:space="preserve"> Maudlyne Ihejirika,. “What Is Environmental Racism?”</w:t>
      </w:r>
    </w:p>
  </w:footnote>
  <w:footnote w:id="5">
    <w:p w14:paraId="45257D0E" w14:textId="77777777" w:rsidR="0012503D" w:rsidRDefault="00000000">
      <w:pPr>
        <w:ind w:left="720" w:hanging="720"/>
      </w:pPr>
      <w:r>
        <w:rPr>
          <w:vertAlign w:val="superscript"/>
        </w:rPr>
        <w:footnoteRef/>
      </w:r>
      <w:r>
        <w:t xml:space="preserve"> Adrienne Kennedy, “Cycle of Poverty,”</w:t>
      </w:r>
      <w:r>
        <w:rPr>
          <w:i/>
          <w:iCs/>
        </w:rPr>
        <w:t xml:space="preserve"> EBSCO Research Starters,</w:t>
      </w:r>
      <w:r>
        <w:t xml:space="preserve"> accessed December 21, 2025, </w:t>
      </w:r>
      <w:hyperlink r:id="rId3">
        <w:r>
          <w:rPr>
            <w:color w:val="1155CC"/>
            <w:u w:val="single"/>
          </w:rPr>
          <w:t>https://www.ebsco.com/research-starters/politics-and-government/cycle-poverty</w:t>
        </w:r>
      </w:hyperlink>
      <w:r>
        <w:t xml:space="preserve">. </w:t>
      </w:r>
    </w:p>
  </w:footnote>
  <w:footnote w:id="6">
    <w:p w14:paraId="4A3B497E" w14:textId="77777777" w:rsidR="0012503D" w:rsidRDefault="00000000">
      <w:pPr>
        <w:rPr>
          <w:sz w:val="20"/>
          <w:szCs w:val="20"/>
        </w:rPr>
      </w:pPr>
      <w:r>
        <w:rPr>
          <w:vertAlign w:val="superscript"/>
        </w:rPr>
        <w:footnoteRef/>
      </w:r>
      <w:r>
        <w:t xml:space="preserve"> Maudlyne Ihejirika,. “What Is Environmental Racism?”</w:t>
      </w:r>
    </w:p>
  </w:footnote>
  <w:footnote w:id="7">
    <w:p w14:paraId="5F7F4495" w14:textId="77777777" w:rsidR="0012503D" w:rsidRDefault="00000000">
      <w:pPr>
        <w:ind w:left="720" w:hanging="720"/>
      </w:pPr>
      <w:r>
        <w:rPr>
          <w:vertAlign w:val="superscript"/>
        </w:rPr>
        <w:footnoteRef/>
      </w:r>
      <w:r>
        <w:t xml:space="preserve"> “Environmental Justice.” </w:t>
      </w:r>
      <w:r>
        <w:rPr>
          <w:i/>
          <w:iCs/>
        </w:rPr>
        <w:t>Southern Environmental Law Center,</w:t>
      </w:r>
      <w:r>
        <w:t xml:space="preserve"> April 30, 2025. </w:t>
      </w:r>
      <w:hyperlink r:id="rId4">
        <w:r>
          <w:rPr>
            <w:color w:val="1155CC"/>
            <w:u w:val="single"/>
          </w:rPr>
          <w:t>https://www.selc.org/our-focus/environmental-justice/</w:t>
        </w:r>
      </w:hyperlink>
      <w:r>
        <w:t xml:space="preserve">. </w:t>
      </w:r>
    </w:p>
  </w:footnote>
  <w:footnote w:id="8">
    <w:p w14:paraId="3076F1DB" w14:textId="77777777" w:rsidR="0012503D" w:rsidRDefault="00000000">
      <w:pPr>
        <w:ind w:left="720" w:hanging="720"/>
      </w:pPr>
      <w:r>
        <w:rPr>
          <w:vertAlign w:val="superscript"/>
        </w:rPr>
        <w:footnoteRef/>
      </w:r>
      <w:r>
        <w:t xml:space="preserve"> Renee Skelton and Vernice Miller, “The Environmental Justice Movement,” </w:t>
      </w:r>
      <w:r>
        <w:rPr>
          <w:i/>
          <w:iCs/>
        </w:rPr>
        <w:t>NRDC,</w:t>
      </w:r>
      <w:r>
        <w:t xml:space="preserve"> August 14, 2025, </w:t>
      </w:r>
      <w:hyperlink r:id="rId5">
        <w:r>
          <w:rPr>
            <w:color w:val="1155CC"/>
            <w:u w:val="single"/>
          </w:rPr>
          <w:t>https://www.nrdc.org/stories/environmental-justice-movement</w:t>
        </w:r>
      </w:hyperlink>
      <w:r>
        <w:t xml:space="preserve">. </w:t>
      </w:r>
    </w:p>
  </w:footnote>
  <w:footnote w:id="9">
    <w:p w14:paraId="5E291D59" w14:textId="77777777" w:rsidR="0012503D" w:rsidRDefault="00000000">
      <w:pPr>
        <w:rPr>
          <w:sz w:val="20"/>
          <w:szCs w:val="20"/>
        </w:rPr>
      </w:pPr>
      <w:r>
        <w:rPr>
          <w:vertAlign w:val="superscript"/>
        </w:rPr>
        <w:footnoteRef/>
      </w:r>
      <w:r>
        <w:t xml:space="preserve"> Renee Skelton and Vernice Miller, “The Environmental Justice Movement.”</w:t>
      </w:r>
    </w:p>
  </w:footnote>
  <w:footnote w:id="10">
    <w:p w14:paraId="6A57C169" w14:textId="77777777" w:rsidR="0012503D" w:rsidRDefault="00000000">
      <w:r>
        <w:rPr>
          <w:vertAlign w:val="superscript"/>
        </w:rPr>
        <w:footnoteRef/>
      </w:r>
      <w:r>
        <w:t xml:space="preserve"> “Industrial Revolution,” </w:t>
      </w:r>
      <w:r>
        <w:rPr>
          <w:i/>
          <w:iCs/>
        </w:rPr>
        <w:t>History,</w:t>
      </w:r>
      <w:r>
        <w:t xml:space="preserve"> last updated May 27, 2025, </w:t>
      </w:r>
      <w:hyperlink r:id="rId6">
        <w:r>
          <w:rPr>
            <w:color w:val="1155CC"/>
            <w:u w:val="single"/>
          </w:rPr>
          <w:t>https://www.history.com/articles/industrial-revolution</w:t>
        </w:r>
      </w:hyperlink>
      <w:r>
        <w:t xml:space="preserve">. </w:t>
      </w:r>
    </w:p>
  </w:footnote>
  <w:footnote w:id="11">
    <w:p w14:paraId="43A3D06E" w14:textId="77777777" w:rsidR="0012503D" w:rsidRDefault="00000000">
      <w:pPr>
        <w:rPr>
          <w:sz w:val="20"/>
          <w:szCs w:val="20"/>
        </w:rPr>
      </w:pPr>
      <w:r>
        <w:rPr>
          <w:vertAlign w:val="superscript"/>
        </w:rPr>
        <w:footnoteRef/>
      </w:r>
      <w:r>
        <w:t xml:space="preserve"> “Industrial Revolution,” </w:t>
      </w:r>
      <w:r>
        <w:rPr>
          <w:i/>
          <w:iCs/>
        </w:rPr>
        <w:t>History.</w:t>
      </w:r>
    </w:p>
  </w:footnote>
  <w:footnote w:id="12">
    <w:p w14:paraId="7E7FEC64" w14:textId="77777777" w:rsidR="0012503D" w:rsidRDefault="00000000">
      <w:pPr>
        <w:rPr>
          <w:sz w:val="20"/>
          <w:szCs w:val="20"/>
        </w:rPr>
      </w:pPr>
      <w:r>
        <w:rPr>
          <w:vertAlign w:val="superscript"/>
        </w:rPr>
        <w:footnoteRef/>
      </w:r>
      <w:r>
        <w:t xml:space="preserve"> “Industrial Revolution,” </w:t>
      </w:r>
      <w:r>
        <w:rPr>
          <w:i/>
          <w:iCs/>
        </w:rPr>
        <w:t>History.</w:t>
      </w:r>
    </w:p>
  </w:footnote>
  <w:footnote w:id="13">
    <w:p w14:paraId="0C9CAFC4" w14:textId="77777777" w:rsidR="0012503D" w:rsidRDefault="00000000">
      <w:pPr>
        <w:ind w:left="720" w:hanging="720"/>
      </w:pPr>
      <w:r>
        <w:rPr>
          <w:vertAlign w:val="superscript"/>
        </w:rPr>
        <w:footnoteRef/>
      </w:r>
      <w:r>
        <w:t xml:space="preserve"> Savannah Bertrand, “Fact Sheet: Climate, Environmental, and Health Impacts of Fossil Fuels (2021),” Environmental and Energy Study Institute, December 17, 2021, accessed December 21, 2025, </w:t>
      </w:r>
      <w:hyperlink r:id="rId7">
        <w:r>
          <w:rPr>
            <w:color w:val="1155CC"/>
            <w:u w:val="single"/>
          </w:rPr>
          <w:t>https://www.eesi.org/papers/view/fact-sheet-climate-environmental-and-health-impacts-of-fossil-fuels-202</w:t>
        </w:r>
      </w:hyperlink>
      <w:r>
        <w:t xml:space="preserve">. </w:t>
      </w:r>
    </w:p>
  </w:footnote>
  <w:footnote w:id="14">
    <w:p w14:paraId="720FBA35" w14:textId="77777777" w:rsidR="0012503D" w:rsidRDefault="00000000">
      <w:pPr>
        <w:rPr>
          <w:sz w:val="20"/>
          <w:szCs w:val="20"/>
        </w:rPr>
      </w:pPr>
      <w:r>
        <w:rPr>
          <w:vertAlign w:val="superscript"/>
        </w:rPr>
        <w:footnoteRef/>
      </w:r>
      <w:r>
        <w:t xml:space="preserve"> “Industrial Revolution,” </w:t>
      </w:r>
      <w:r>
        <w:rPr>
          <w:i/>
          <w:iCs/>
        </w:rPr>
        <w:t>History.</w:t>
      </w:r>
    </w:p>
  </w:footnote>
  <w:footnote w:id="15">
    <w:p w14:paraId="60677272" w14:textId="77777777" w:rsidR="0012503D" w:rsidRDefault="00000000">
      <w:pPr>
        <w:ind w:left="720" w:hanging="720"/>
      </w:pPr>
      <w:r>
        <w:rPr>
          <w:vertAlign w:val="superscript"/>
        </w:rPr>
        <w:footnoteRef/>
      </w:r>
      <w:r>
        <w:t xml:space="preserve"> Cesar O. Estien, Christine E. Wilkinson, Rachel Morello-Frosch, and Christopher J. Schell, “Historical Redlining Is Associated with Disparities in Environmental Quality across California,” </w:t>
      </w:r>
      <w:r>
        <w:rPr>
          <w:i/>
          <w:iCs/>
        </w:rPr>
        <w:t>Environmental Science &amp; Technology Letters</w:t>
      </w:r>
      <w:r>
        <w:t xml:space="preserve"> 11, no. 2 (2024): 54, accessed December 21, 2025, </w:t>
      </w:r>
      <w:hyperlink r:id="rId8">
        <w:r>
          <w:rPr>
            <w:color w:val="1155CC"/>
            <w:u w:val="single"/>
          </w:rPr>
          <w:t>https://pmc.ncbi.nlm.nih.gov/articles/PMC10867848/</w:t>
        </w:r>
      </w:hyperlink>
      <w:r>
        <w:t xml:space="preserve">. </w:t>
      </w:r>
    </w:p>
  </w:footnote>
  <w:footnote w:id="16">
    <w:p w14:paraId="7B9E6E88" w14:textId="77777777" w:rsidR="0012503D" w:rsidRDefault="00000000">
      <w:pPr>
        <w:ind w:left="720"/>
      </w:pPr>
      <w:r>
        <w:rPr>
          <w:vertAlign w:val="superscript"/>
        </w:rPr>
        <w:footnoteRef/>
      </w:r>
      <w:r>
        <w:t xml:space="preserve"> Cesar O. Estien, Christine E. Wilkinson, Rachel Morello-Frosch, and Christopher J. Schell, “Historical Redlining Is Associated with Disparities in Environmental Quality across California,” 54.</w:t>
      </w:r>
    </w:p>
  </w:footnote>
  <w:footnote w:id="17">
    <w:p w14:paraId="08033F8F" w14:textId="77777777" w:rsidR="0012503D" w:rsidRDefault="00000000">
      <w:pPr>
        <w:ind w:left="720"/>
      </w:pPr>
      <w:r>
        <w:rPr>
          <w:vertAlign w:val="superscript"/>
        </w:rPr>
        <w:footnoteRef/>
      </w:r>
      <w:r>
        <w:t xml:space="preserve"> Cesar O. Estien, Christine E. Wilkinson, Rachel Morello-Frosch, and Christopher J. Schell, “Historical Redlining Is Associated with Disparities in Environmental Quality across California,” 54.</w:t>
      </w:r>
    </w:p>
  </w:footnote>
  <w:footnote w:id="18">
    <w:p w14:paraId="7FAA16DB" w14:textId="77777777" w:rsidR="0012503D" w:rsidRDefault="00000000">
      <w:pPr>
        <w:ind w:left="720" w:hanging="720"/>
      </w:pPr>
      <w:r>
        <w:rPr>
          <w:vertAlign w:val="superscript"/>
        </w:rPr>
        <w:footnoteRef/>
      </w:r>
      <w:r>
        <w:t xml:space="preserve"> U.S. Environmental Protection Agency, “Environmental Justice Timeline,” accessed December 21, 2025,  </w:t>
      </w:r>
      <w:hyperlink r:id="rId9">
        <w:r>
          <w:rPr>
            <w:color w:val="1155CC"/>
            <w:u w:val="single"/>
          </w:rPr>
          <w:t>https://19january2021snapshot.epa.gov/environmentaljustice/environmental‑justice‑timeline_.html</w:t>
        </w:r>
      </w:hyperlink>
      <w:r>
        <w:t xml:space="preserve">. </w:t>
      </w:r>
    </w:p>
  </w:footnote>
  <w:footnote w:id="19">
    <w:p w14:paraId="3B3BBB75" w14:textId="77777777" w:rsidR="0012503D" w:rsidRDefault="00000000">
      <w:pPr>
        <w:ind w:left="720"/>
        <w:rPr>
          <w:sz w:val="20"/>
          <w:szCs w:val="20"/>
        </w:rPr>
      </w:pPr>
      <w:r>
        <w:rPr>
          <w:vertAlign w:val="superscript"/>
        </w:rPr>
        <w:footnoteRef/>
      </w:r>
      <w:r>
        <w:t xml:space="preserve"> U.S. Environmental Protection Agency, “Environmental Justice Timeline.”</w:t>
      </w:r>
    </w:p>
  </w:footnote>
  <w:footnote w:id="20">
    <w:p w14:paraId="7D93408E" w14:textId="77777777" w:rsidR="0012503D" w:rsidRDefault="00000000">
      <w:pPr>
        <w:ind w:left="720"/>
        <w:rPr>
          <w:sz w:val="20"/>
          <w:szCs w:val="20"/>
        </w:rPr>
      </w:pPr>
      <w:r>
        <w:rPr>
          <w:vertAlign w:val="superscript"/>
        </w:rPr>
        <w:footnoteRef/>
      </w:r>
      <w:r>
        <w:t xml:space="preserve"> U.S. Environmental Protection Agency, “Environmental Justice Timeline.”</w:t>
      </w:r>
    </w:p>
  </w:footnote>
  <w:footnote w:id="21">
    <w:p w14:paraId="15208B9D" w14:textId="77777777" w:rsidR="0012503D" w:rsidRDefault="00000000">
      <w:pPr>
        <w:ind w:left="720"/>
        <w:rPr>
          <w:sz w:val="20"/>
          <w:szCs w:val="20"/>
        </w:rPr>
      </w:pPr>
      <w:r>
        <w:rPr>
          <w:vertAlign w:val="superscript"/>
        </w:rPr>
        <w:footnoteRef/>
      </w:r>
      <w:r>
        <w:t xml:space="preserve"> U.S. Environmental Protection Agency, “Environmental Justice Timeline.”</w:t>
      </w:r>
    </w:p>
  </w:footnote>
  <w:footnote w:id="22">
    <w:p w14:paraId="1C98BB76" w14:textId="77777777" w:rsidR="0012503D" w:rsidRDefault="00000000">
      <w:pPr>
        <w:ind w:left="720" w:hanging="720"/>
      </w:pPr>
      <w:r>
        <w:rPr>
          <w:vertAlign w:val="superscript"/>
        </w:rPr>
        <w:footnoteRef/>
      </w:r>
      <w:r>
        <w:t xml:space="preserve"> “EPA Eliminated Office of Environmental Justice and External Civil Rights (OEJECR) and EJ Regional Divisions,” </w:t>
      </w:r>
      <w:r>
        <w:rPr>
          <w:i/>
          <w:iCs/>
        </w:rPr>
        <w:t>Harvard Law School EELP,</w:t>
      </w:r>
      <w:r>
        <w:t xml:space="preserve"> last updated March 11, 2025, </w:t>
      </w:r>
      <w:hyperlink r:id="rId10">
        <w:r>
          <w:rPr>
            <w:color w:val="1155CC"/>
            <w:u w:val="single"/>
          </w:rPr>
          <w:t>https://19january2021snapshot.epa.gov/environmentaljustice/environmental‑justice‑timeline_.htm</w:t>
        </w:r>
      </w:hyperlink>
      <w:r>
        <w:t xml:space="preserve">. </w:t>
      </w:r>
    </w:p>
  </w:footnote>
  <w:footnote w:id="23">
    <w:p w14:paraId="2A5C64E7" w14:textId="77777777" w:rsidR="0012503D" w:rsidRDefault="00000000">
      <w:pPr>
        <w:ind w:left="720" w:hanging="720"/>
      </w:pPr>
      <w:r>
        <w:rPr>
          <w:vertAlign w:val="superscript"/>
        </w:rPr>
        <w:footnoteRef/>
      </w:r>
      <w:r>
        <w:t xml:space="preserve"> Lucie Laurian, “Environmental Injustice in France,” </w:t>
      </w:r>
      <w:r>
        <w:rPr>
          <w:i/>
          <w:iCs/>
        </w:rPr>
        <w:t xml:space="preserve">Journal of Environmental Planning and Management </w:t>
      </w:r>
      <w:r>
        <w:t xml:space="preserve">51 no. 1: 57 (2007), </w:t>
      </w:r>
      <w:hyperlink r:id="rId11">
        <w:r>
          <w:rPr>
            <w:color w:val="1155CC"/>
            <w:u w:val="single"/>
          </w:rPr>
          <w:t>https://temis.documentation.developpement-durable.gouv.fr/docs/Temis/0076/Temis-0076096/76096.pdf</w:t>
        </w:r>
      </w:hyperlink>
      <w:r>
        <w:t xml:space="preserve">. </w:t>
      </w:r>
    </w:p>
  </w:footnote>
  <w:footnote w:id="24">
    <w:p w14:paraId="3597ACE3" w14:textId="77777777" w:rsidR="0012503D" w:rsidRDefault="00000000">
      <w:pPr>
        <w:ind w:left="720"/>
      </w:pPr>
      <w:r>
        <w:rPr>
          <w:vertAlign w:val="superscript"/>
        </w:rPr>
        <w:footnoteRef/>
      </w:r>
      <w:r>
        <w:t xml:space="preserve"> Caroline Kapp, “Ukraine’s Environment Is a Victim of Russian Geopolitics (Again),” Climate‑Diplomacy, September 8, 2023, </w:t>
      </w:r>
      <w:hyperlink r:id="rId12">
        <w:r>
          <w:rPr>
            <w:color w:val="1155CC"/>
            <w:u w:val="single"/>
          </w:rPr>
          <w:t>https://climate‑diplomacy.org/magazine/environment/ukraines‑environment‑victim‑russian‑geopolitics‑again</w:t>
        </w:r>
      </w:hyperlink>
      <w:r>
        <w:t xml:space="preserve">. </w:t>
      </w:r>
    </w:p>
  </w:footnote>
  <w:footnote w:id="25">
    <w:p w14:paraId="16D0586F" w14:textId="77777777" w:rsidR="0012503D" w:rsidRPr="007963AD" w:rsidRDefault="00000000">
      <w:pPr>
        <w:rPr>
          <w:sz w:val="20"/>
          <w:szCs w:val="20"/>
          <w:lang w:val="fr-FR"/>
        </w:rPr>
      </w:pPr>
      <w:r>
        <w:rPr>
          <w:vertAlign w:val="superscript"/>
        </w:rPr>
        <w:footnoteRef/>
      </w:r>
      <w:r w:rsidRPr="007963AD">
        <w:rPr>
          <w:lang w:val="fr-FR"/>
        </w:rPr>
        <w:t xml:space="preserve"> Lucie Laurian, “Environmental Injustice in France,” 57.</w:t>
      </w:r>
    </w:p>
  </w:footnote>
  <w:footnote w:id="26">
    <w:p w14:paraId="51DD573D" w14:textId="77777777" w:rsidR="0012503D" w:rsidRDefault="00000000">
      <w:pPr>
        <w:ind w:left="720" w:hanging="720"/>
        <w:rPr>
          <w:sz w:val="20"/>
          <w:szCs w:val="20"/>
        </w:rPr>
      </w:pPr>
      <w:r>
        <w:rPr>
          <w:vertAlign w:val="superscript"/>
        </w:rPr>
        <w:footnoteRef/>
      </w:r>
      <w:r>
        <w:t xml:space="preserve"> “Climate Justice in Britain: How Environmental Racism Impacts Marginalised Communities,” </w:t>
      </w:r>
      <w:r>
        <w:rPr>
          <w:i/>
          <w:iCs/>
        </w:rPr>
        <w:t xml:space="preserve">Rock &amp; Art, </w:t>
      </w:r>
      <w:r>
        <w:t xml:space="preserve">accessed December 21, 2025, </w:t>
      </w:r>
      <w:hyperlink r:id="rId13">
        <w:r>
          <w:rPr>
            <w:color w:val="1155CC"/>
            <w:u w:val="single"/>
          </w:rPr>
          <w:t>https://www.rockandart.org/climate‑justice‑in‑britain‑racism‑marginalised/</w:t>
        </w:r>
      </w:hyperlink>
      <w:r>
        <w:t xml:space="preserve">. </w:t>
      </w:r>
    </w:p>
  </w:footnote>
  <w:footnote w:id="27">
    <w:p w14:paraId="3368B2DA" w14:textId="77777777" w:rsidR="0012503D" w:rsidRDefault="00000000">
      <w:pPr>
        <w:ind w:left="720"/>
        <w:rPr>
          <w:sz w:val="20"/>
          <w:szCs w:val="20"/>
        </w:rPr>
      </w:pPr>
      <w:r>
        <w:rPr>
          <w:vertAlign w:val="superscript"/>
        </w:rPr>
        <w:footnoteRef/>
      </w:r>
      <w:r>
        <w:t xml:space="preserve"> “Climate Justice in Britain: How Environmental Racism Impacts Marginalised Communities,” </w:t>
      </w:r>
      <w:r>
        <w:rPr>
          <w:i/>
          <w:iCs/>
        </w:rPr>
        <w:t>Rock &amp; Art.</w:t>
      </w:r>
    </w:p>
  </w:footnote>
  <w:footnote w:id="28">
    <w:p w14:paraId="52A21A0E" w14:textId="77777777" w:rsidR="0012503D" w:rsidRPr="007963AD" w:rsidRDefault="00000000">
      <w:pPr>
        <w:rPr>
          <w:sz w:val="20"/>
          <w:szCs w:val="20"/>
          <w:lang w:val="fr-FR"/>
        </w:rPr>
      </w:pPr>
      <w:r>
        <w:rPr>
          <w:vertAlign w:val="superscript"/>
        </w:rPr>
        <w:footnoteRef/>
      </w:r>
      <w:r w:rsidRPr="007963AD">
        <w:rPr>
          <w:lang w:val="fr-FR"/>
        </w:rPr>
        <w:t xml:space="preserve"> Lucie Laurian, “Environmental Injustice in France,” 73.</w:t>
      </w:r>
    </w:p>
  </w:footnote>
  <w:footnote w:id="29">
    <w:p w14:paraId="2FCE6227" w14:textId="77777777" w:rsidR="0012503D" w:rsidRPr="007963AD" w:rsidRDefault="00000000">
      <w:pPr>
        <w:ind w:left="720" w:hanging="720"/>
        <w:rPr>
          <w:lang w:val="fr-FR"/>
        </w:rPr>
      </w:pPr>
      <w:r>
        <w:rPr>
          <w:vertAlign w:val="superscript"/>
        </w:rPr>
        <w:footnoteRef/>
      </w:r>
      <w:r w:rsidRPr="007963AD">
        <w:rPr>
          <w:lang w:val="fr-FR"/>
        </w:rPr>
        <w:t xml:space="preserve"> Banlieues Climat, “L’émancipation grâce aux enjeux climatiques dans les quartiers populaires,” Banlieues‑Climat.org, accessed December 21, 2025, </w:t>
      </w:r>
      <w:hyperlink r:id="rId14">
        <w:r w:rsidRPr="007963AD">
          <w:rPr>
            <w:color w:val="1155CC"/>
            <w:u w:val="single"/>
            <w:lang w:val="fr-FR"/>
          </w:rPr>
          <w:t>https://banlieues‑climat.org/</w:t>
        </w:r>
      </w:hyperlink>
      <w:r w:rsidRPr="007963AD">
        <w:rPr>
          <w:lang w:val="fr-FR"/>
        </w:rPr>
        <w:t xml:space="preserve">. </w:t>
      </w:r>
    </w:p>
  </w:footnote>
  <w:footnote w:id="30">
    <w:p w14:paraId="1B984E8F" w14:textId="77777777" w:rsidR="0012503D" w:rsidRDefault="00000000">
      <w:pPr>
        <w:ind w:left="720"/>
        <w:rPr>
          <w:sz w:val="20"/>
          <w:szCs w:val="20"/>
        </w:rPr>
      </w:pPr>
      <w:r>
        <w:rPr>
          <w:vertAlign w:val="superscript"/>
        </w:rPr>
        <w:footnoteRef/>
      </w:r>
      <w:r>
        <w:t xml:space="preserve"> Public Health On Call, “Louisiana’s ‘Cancer Alley’ Is More Deadly Than Previously Imagined,” </w:t>
      </w:r>
      <w:r>
        <w:rPr>
          <w:i/>
          <w:iCs/>
        </w:rPr>
        <w:t>Johns Hopkins Bloomberg School of Public Health</w:t>
      </w:r>
      <w:r>
        <w:t>, August 4, 2025,</w:t>
      </w:r>
      <w:hyperlink r:id="rId15">
        <w:r>
          <w:t xml:space="preserve"> </w:t>
        </w:r>
      </w:hyperlink>
      <w:hyperlink r:id="rId16">
        <w:r>
          <w:rPr>
            <w:color w:val="1155CC"/>
            <w:u w:val="single"/>
          </w:rPr>
          <w:t>https://publichealth.jhu.edu/2025/the-shocking-hazards-of-louisianas-cancer-alley</w:t>
        </w:r>
      </w:hyperlink>
      <w:r>
        <w:t xml:space="preserve">. </w:t>
      </w:r>
    </w:p>
  </w:footnote>
  <w:footnote w:id="31">
    <w:p w14:paraId="3D0A7600" w14:textId="77777777" w:rsidR="0012503D" w:rsidRDefault="00000000">
      <w:pPr>
        <w:ind w:left="720" w:hanging="720"/>
      </w:pPr>
      <w:r>
        <w:rPr>
          <w:vertAlign w:val="superscript"/>
        </w:rPr>
        <w:footnoteRef/>
      </w:r>
      <w:r>
        <w:t xml:space="preserve"> Public Health On Call, “Louisiana’s ‘Cancer Alley’ Is More Deadly Than Previously Imagined,” </w:t>
      </w:r>
      <w:r>
        <w:rPr>
          <w:i/>
          <w:iCs/>
        </w:rPr>
        <w:t>Johns Hopkins Bloomberg School of Public Health</w:t>
      </w:r>
      <w:r>
        <w:t>.</w:t>
      </w:r>
    </w:p>
  </w:footnote>
  <w:footnote w:id="32">
    <w:p w14:paraId="555DC4BA" w14:textId="77777777" w:rsidR="0012503D" w:rsidRDefault="00000000">
      <w:pPr>
        <w:ind w:left="720" w:hanging="720"/>
      </w:pPr>
      <w:r>
        <w:rPr>
          <w:vertAlign w:val="superscript"/>
        </w:rPr>
        <w:footnoteRef/>
      </w:r>
      <w:r>
        <w:t xml:space="preserve"> “Scientists and Community Leaders Seek to Clear the Air in the South Bronx,” </w:t>
      </w:r>
      <w:r>
        <w:rPr>
          <w:i/>
          <w:iCs/>
        </w:rPr>
        <w:t>Columbia University Mailman School of Public Health</w:t>
      </w:r>
      <w:r>
        <w:t>, September 23, 2023,</w:t>
      </w:r>
      <w:hyperlink r:id="rId17">
        <w:r>
          <w:t xml:space="preserve"> </w:t>
        </w:r>
      </w:hyperlink>
      <w:hyperlink r:id="rId18">
        <w:r>
          <w:rPr>
            <w:color w:val="1155CC"/>
            <w:u w:val="single"/>
          </w:rPr>
          <w:t>https://www.publichealth.columbia.edu/news/scientists-community-leaders-seek-clear-air-south-bronx</w:t>
        </w:r>
      </w:hyperlink>
      <w:r>
        <w:t xml:space="preserve">. </w:t>
      </w:r>
    </w:p>
  </w:footnote>
  <w:footnote w:id="33">
    <w:p w14:paraId="0950EE89" w14:textId="77777777" w:rsidR="0012503D" w:rsidRDefault="00000000">
      <w:pPr>
        <w:ind w:left="720" w:hanging="720"/>
      </w:pPr>
      <w:r>
        <w:rPr>
          <w:vertAlign w:val="superscript"/>
        </w:rPr>
        <w:footnoteRef/>
      </w:r>
      <w:r>
        <w:t xml:space="preserve"> “Scientists and Community Leaders Seek to Clear the Air in the South Bronx,” </w:t>
      </w:r>
      <w:r>
        <w:rPr>
          <w:i/>
          <w:iCs/>
        </w:rPr>
        <w:t>Columbia University Mailman School of Public Health</w:t>
      </w:r>
      <w:r>
        <w:t>.</w:t>
      </w:r>
    </w:p>
  </w:footnote>
  <w:footnote w:id="34">
    <w:p w14:paraId="00DBC4E1" w14:textId="77777777" w:rsidR="0012503D" w:rsidRDefault="00000000">
      <w:pPr>
        <w:ind w:left="720"/>
        <w:rPr>
          <w:sz w:val="20"/>
          <w:szCs w:val="20"/>
        </w:rPr>
      </w:pPr>
      <w:r>
        <w:rPr>
          <w:vertAlign w:val="superscript"/>
        </w:rPr>
        <w:footnoteRef/>
      </w:r>
      <w:r>
        <w:t xml:space="preserve"> “Scientists and Community Leaders Seek to Clear the Air in the South Bronx,” </w:t>
      </w:r>
      <w:r>
        <w:rPr>
          <w:i/>
          <w:iCs/>
        </w:rPr>
        <w:t>Columbia University Mailman School of Public Health</w:t>
      </w:r>
      <w:r>
        <w:t>.</w:t>
      </w:r>
    </w:p>
  </w:footnote>
  <w:footnote w:id="35">
    <w:p w14:paraId="0A1CADAE" w14:textId="77777777" w:rsidR="0012503D" w:rsidRDefault="00000000">
      <w:pPr>
        <w:ind w:left="720" w:hanging="720"/>
      </w:pPr>
      <w:r>
        <w:rPr>
          <w:vertAlign w:val="superscript"/>
        </w:rPr>
        <w:footnoteRef/>
      </w:r>
      <w:r>
        <w:t xml:space="preserve"> Chanese A. Forté, “US Uranium Mining Legacy Still Harms the Navajo Nation,” </w:t>
      </w:r>
      <w:r>
        <w:rPr>
          <w:i/>
          <w:iCs/>
        </w:rPr>
        <w:t xml:space="preserve">Union of Concerned Scientists, </w:t>
      </w:r>
      <w:r>
        <w:t xml:space="preserve">May 6, 2025, </w:t>
      </w:r>
      <w:hyperlink r:id="rId19">
        <w:r>
          <w:rPr>
            <w:color w:val="1155CC"/>
            <w:u w:val="single"/>
          </w:rPr>
          <w:t>https://blog.ucs.org/chanese-forte/us-uranium-mining-legacy-still-harms-the-navajo-nation/</w:t>
        </w:r>
      </w:hyperlink>
      <w:r>
        <w:t xml:space="preserve">. </w:t>
      </w:r>
    </w:p>
  </w:footnote>
  <w:footnote w:id="36">
    <w:p w14:paraId="093F99B2" w14:textId="77777777" w:rsidR="0012503D" w:rsidRDefault="00000000">
      <w:r>
        <w:rPr>
          <w:vertAlign w:val="superscript"/>
        </w:rPr>
        <w:footnoteRef/>
      </w:r>
      <w:r>
        <w:t xml:space="preserve"> Chanese A. Forté, “US Uranium Mining Legacy Still Harms the Navajo Nation.”</w:t>
      </w:r>
    </w:p>
  </w:footnote>
  <w:footnote w:id="37">
    <w:p w14:paraId="67F80A74" w14:textId="77777777" w:rsidR="0012503D" w:rsidRDefault="00000000">
      <w:r>
        <w:rPr>
          <w:vertAlign w:val="superscript"/>
        </w:rPr>
        <w:footnoteRef/>
      </w:r>
      <w:r>
        <w:t xml:space="preserve"> Maudlyne Ihejirika,. “What Is Environmental Racism?”</w:t>
      </w:r>
    </w:p>
  </w:footnote>
  <w:footnote w:id="38">
    <w:p w14:paraId="31B602F5" w14:textId="77777777" w:rsidR="0012503D" w:rsidRDefault="00000000">
      <w:pPr>
        <w:ind w:left="720" w:hanging="720"/>
      </w:pPr>
      <w:r>
        <w:rPr>
          <w:vertAlign w:val="superscript"/>
        </w:rPr>
        <w:footnoteRef/>
      </w:r>
      <w:r>
        <w:t xml:space="preserve"> Jonathan Lambert, “Here’s Photos of E‑Waste and Discarded Electronics in Ghana,” </w:t>
      </w:r>
      <w:r>
        <w:rPr>
          <w:i/>
          <w:iCs/>
        </w:rPr>
        <w:t>NPR (Goats and Soda),</w:t>
      </w:r>
      <w:r>
        <w:t xml:space="preserve"> October 5, 2024, </w:t>
      </w:r>
      <w:hyperlink r:id="rId20">
        <w:r>
          <w:rPr>
            <w:color w:val="1155CC"/>
            <w:u w:val="single"/>
          </w:rPr>
          <w:t>https://www.npr.org/sections/goats‑and‑soda/2024/10/05/g‑s1‑6411/electronics‑public‑health‑waste‑ghana‑phones‑computers</w:t>
        </w:r>
      </w:hyperlink>
      <w:r>
        <w:t xml:space="preserve">. </w:t>
      </w:r>
    </w:p>
  </w:footnote>
  <w:footnote w:id="39">
    <w:p w14:paraId="2E9C4812" w14:textId="77777777" w:rsidR="0012503D" w:rsidRDefault="00000000">
      <w:r>
        <w:rPr>
          <w:vertAlign w:val="superscript"/>
        </w:rPr>
        <w:footnoteRef/>
      </w:r>
      <w:r>
        <w:t xml:space="preserve"> Jonathan Lambert, “Here’s Photos of E‑Waste and Discarded Electronics in Ghana.”</w:t>
      </w:r>
    </w:p>
  </w:footnote>
  <w:footnote w:id="40">
    <w:p w14:paraId="3C85B6ED" w14:textId="77777777" w:rsidR="0012503D" w:rsidRDefault="00000000">
      <w:pPr>
        <w:rPr>
          <w:sz w:val="20"/>
          <w:szCs w:val="20"/>
        </w:rPr>
      </w:pPr>
      <w:r>
        <w:rPr>
          <w:vertAlign w:val="superscript"/>
        </w:rPr>
        <w:footnoteRef/>
      </w:r>
      <w:r>
        <w:t xml:space="preserve"> Jonathan Lambert, “Here’s Photos of E‑Waste and Discarded Electronics in Ghana.”</w:t>
      </w:r>
    </w:p>
  </w:footnote>
  <w:footnote w:id="41">
    <w:p w14:paraId="70C77A83" w14:textId="77777777" w:rsidR="0012503D" w:rsidRDefault="00000000">
      <w:pPr>
        <w:ind w:left="720" w:hanging="720"/>
      </w:pPr>
      <w:r>
        <w:rPr>
          <w:vertAlign w:val="superscript"/>
        </w:rPr>
        <w:footnoteRef/>
      </w:r>
      <w:r>
        <w:t xml:space="preserve"> Munatjima Tawaddud Khanum, “How Air Pollution is Stealing Bangladesh’s Future,” </w:t>
      </w:r>
      <w:r>
        <w:rPr>
          <w:i/>
          <w:iCs/>
        </w:rPr>
        <w:t>UNICEF</w:t>
      </w:r>
      <w:r>
        <w:t xml:space="preserve">, June 16, 2025, </w:t>
      </w:r>
      <w:hyperlink r:id="rId21">
        <w:r>
          <w:rPr>
            <w:color w:val="1155CC"/>
            <w:u w:val="single"/>
          </w:rPr>
          <w:t>https://ceh.unicef.org/events-and-resources/stories/how-air-pollution-stealing-bangladeshs-future</w:t>
        </w:r>
      </w:hyperlink>
      <w:r>
        <w:t>.</w:t>
      </w:r>
    </w:p>
  </w:footnote>
  <w:footnote w:id="42">
    <w:p w14:paraId="2FB3DA51" w14:textId="77777777" w:rsidR="0012503D" w:rsidRDefault="00000000">
      <w:pPr>
        <w:ind w:left="720" w:hanging="720"/>
      </w:pPr>
      <w:r>
        <w:rPr>
          <w:vertAlign w:val="superscript"/>
        </w:rPr>
        <w:footnoteRef/>
      </w:r>
      <w:r>
        <w:t xml:space="preserve"> Dina Umali‑Deininger, “Clearing the Air: Addressing Bangladesh’s Air Pollution Crisis,” </w:t>
      </w:r>
      <w:r>
        <w:rPr>
          <w:i/>
          <w:iCs/>
        </w:rPr>
        <w:t>World Bank,</w:t>
      </w:r>
      <w:r>
        <w:t xml:space="preserve"> November 20, 2024, </w:t>
      </w:r>
      <w:hyperlink r:id="rId22">
        <w:r>
          <w:rPr>
            <w:color w:val="1155CC"/>
            <w:u w:val="single"/>
          </w:rPr>
          <w:t>https://blogs.worldbank.org/en/endpovertyinsouthasia/clearing-the-air--addressing-bangladesh-s-air-pollution-crisis</w:t>
        </w:r>
      </w:hyperlink>
      <w:r>
        <w:t xml:space="preserve">. </w:t>
      </w:r>
    </w:p>
  </w:footnote>
  <w:footnote w:id="43">
    <w:p w14:paraId="21CB3077" w14:textId="77777777" w:rsidR="0012503D" w:rsidRDefault="00000000">
      <w:pPr>
        <w:rPr>
          <w:sz w:val="20"/>
          <w:szCs w:val="20"/>
        </w:rPr>
      </w:pPr>
      <w:r>
        <w:rPr>
          <w:vertAlign w:val="superscript"/>
        </w:rPr>
        <w:footnoteRef/>
      </w:r>
      <w:r>
        <w:t xml:space="preserve"> Dina Umali‑Deininger, “Clearing the Air: Addressing Bangladesh’s Air Pollution Crisis.”</w:t>
      </w:r>
    </w:p>
  </w:footnote>
  <w:footnote w:id="44">
    <w:p w14:paraId="0B0F134F" w14:textId="77777777" w:rsidR="0012503D" w:rsidRDefault="00000000">
      <w:pPr>
        <w:ind w:left="720" w:hanging="720"/>
      </w:pPr>
      <w:r>
        <w:rPr>
          <w:vertAlign w:val="superscript"/>
        </w:rPr>
        <w:footnoteRef/>
      </w:r>
      <w:r>
        <w:t xml:space="preserve"> Environmental Defense Fund, </w:t>
      </w:r>
      <w:r>
        <w:rPr>
          <w:i/>
          <w:iCs/>
        </w:rPr>
        <w:t>“Equity and Environmental Justice at EDF: Vision and Principles,”</w:t>
      </w:r>
      <w:r>
        <w:t xml:space="preserve"> last updated October 6, 2025, Environmental Defense Fund,</w:t>
      </w:r>
      <w:hyperlink r:id="rId23">
        <w:r>
          <w:t xml:space="preserve"> </w:t>
        </w:r>
      </w:hyperlink>
      <w:hyperlink r:id="rId24">
        <w:r>
          <w:rPr>
            <w:color w:val="1155CC"/>
            <w:u w:val="single"/>
          </w:rPr>
          <w:t>https://www.edf.org/about/equity-and-environmental-justice-edf</w:t>
        </w:r>
      </w:hyperlink>
      <w:r>
        <w:t xml:space="preserve">. </w:t>
      </w:r>
    </w:p>
  </w:footnote>
  <w:footnote w:id="45">
    <w:p w14:paraId="5C647B83" w14:textId="77777777" w:rsidR="0012503D" w:rsidRDefault="00000000">
      <w:r>
        <w:rPr>
          <w:vertAlign w:val="superscript"/>
        </w:rPr>
        <w:footnoteRef/>
      </w:r>
      <w:r>
        <w:t xml:space="preserve"> “About Earthjustice,” </w:t>
      </w:r>
      <w:r>
        <w:rPr>
          <w:i/>
          <w:iCs/>
        </w:rPr>
        <w:t>Earthjustice,</w:t>
      </w:r>
      <w:r>
        <w:t xml:space="preserve"> accessed January 12, 2026, </w:t>
      </w:r>
      <w:hyperlink r:id="rId25">
        <w:r>
          <w:rPr>
            <w:color w:val="1155CC"/>
            <w:u w:val="single"/>
          </w:rPr>
          <w:t>https://earthjustice.org/about</w:t>
        </w:r>
      </w:hyperlink>
      <w:r>
        <w:t xml:space="preserve">. </w:t>
      </w:r>
    </w:p>
  </w:footnote>
  <w:footnote w:id="46">
    <w:p w14:paraId="15E34B2D" w14:textId="77777777" w:rsidR="0012503D" w:rsidRDefault="00000000">
      <w:r>
        <w:rPr>
          <w:vertAlign w:val="superscript"/>
        </w:rPr>
        <w:footnoteRef/>
      </w:r>
      <w:r>
        <w:t xml:space="preserve"> “Environmental Justice,” </w:t>
      </w:r>
      <w:r>
        <w:rPr>
          <w:i/>
          <w:iCs/>
        </w:rPr>
        <w:t>Earthjustice</w:t>
      </w:r>
      <w:r>
        <w:t>, accessed January 12, 2026,</w:t>
      </w:r>
      <w:hyperlink r:id="rId26">
        <w:r>
          <w:t xml:space="preserve"> </w:t>
        </w:r>
      </w:hyperlink>
      <w:hyperlink r:id="rId27">
        <w:r>
          <w:rPr>
            <w:color w:val="1155CC"/>
            <w:u w:val="single"/>
          </w:rPr>
          <w:t>https://earthjustice.org/our-work/environmental-justice</w:t>
        </w:r>
      </w:hyperlink>
      <w:r>
        <w:t>.</w:t>
      </w:r>
    </w:p>
  </w:footnote>
  <w:footnote w:id="47">
    <w:p w14:paraId="4BC7B71E" w14:textId="77777777" w:rsidR="0012503D" w:rsidRDefault="00000000">
      <w:pPr>
        <w:ind w:left="720" w:hanging="720"/>
      </w:pPr>
      <w:r>
        <w:rPr>
          <w:vertAlign w:val="superscript"/>
        </w:rPr>
        <w:footnoteRef/>
      </w:r>
      <w:r>
        <w:t xml:space="preserve"> “Advancing Environmental Rights in South Africa,” </w:t>
      </w:r>
      <w:r>
        <w:rPr>
          <w:i/>
          <w:iCs/>
        </w:rPr>
        <w:t xml:space="preserve">Centre for Environmental Rights, </w:t>
      </w:r>
      <w:r>
        <w:t xml:space="preserve">accessed January 12, 2026, </w:t>
      </w:r>
      <w:hyperlink r:id="rId28">
        <w:r>
          <w:rPr>
            <w:color w:val="1155CC"/>
            <w:u w:val="single"/>
          </w:rPr>
          <w:t>https://cer.org.za/</w:t>
        </w:r>
      </w:hyperlink>
      <w:r>
        <w:t xml:space="preserve">. </w:t>
      </w:r>
    </w:p>
  </w:footnote>
  <w:footnote w:id="48">
    <w:p w14:paraId="47C8D576" w14:textId="77777777" w:rsidR="0012503D" w:rsidRDefault="00000000">
      <w:pPr>
        <w:ind w:left="720" w:hanging="720"/>
      </w:pPr>
      <w:r>
        <w:rPr>
          <w:vertAlign w:val="superscript"/>
        </w:rPr>
        <w:footnoteRef/>
      </w:r>
      <w:r>
        <w:t xml:space="preserve"> “Centre for Environmental Justice,” </w:t>
      </w:r>
      <w:r>
        <w:rPr>
          <w:i/>
          <w:iCs/>
        </w:rPr>
        <w:t>The Coalition for Human Rights in Development,</w:t>
      </w:r>
      <w:r>
        <w:t xml:space="preserve"> accessed January 12,  2026, </w:t>
      </w:r>
      <w:hyperlink r:id="rId29">
        <w:r>
          <w:rPr>
            <w:color w:val="1155CC"/>
            <w:u w:val="single"/>
          </w:rPr>
          <w:t>https://rightsindevelopment.org/member/center-for-environmental-justice-cej/</w:t>
        </w:r>
      </w:hyperlink>
      <w:r>
        <w:t xml:space="preserve">. </w:t>
      </w:r>
    </w:p>
  </w:footnote>
  <w:footnote w:id="49">
    <w:p w14:paraId="7EB1E85B" w14:textId="77777777" w:rsidR="0012503D" w:rsidRDefault="00000000">
      <w:pPr>
        <w:ind w:left="720" w:hanging="720"/>
      </w:pPr>
      <w:r>
        <w:rPr>
          <w:vertAlign w:val="superscript"/>
        </w:rPr>
        <w:footnoteRef/>
      </w:r>
      <w:r>
        <w:t xml:space="preserve"> Pamela Chasek, “Stockholm Convention on Persistent Organic Pollutants,” </w:t>
      </w:r>
      <w:r>
        <w:rPr>
          <w:i/>
          <w:iCs/>
        </w:rPr>
        <w:t xml:space="preserve">International Institute for Sustainable Development, </w:t>
      </w:r>
      <w:r>
        <w:t xml:space="preserve">April 7, 2025, </w:t>
      </w:r>
      <w:hyperlink r:id="rId30">
        <w:r>
          <w:rPr>
            <w:color w:val="1155CC"/>
            <w:u w:val="single"/>
          </w:rPr>
          <w:t>https://enb.iisd.org/articles/Stockholm‑convention</w:t>
        </w:r>
      </w:hyperlink>
      <w:r>
        <w:t xml:space="preserve">. </w:t>
      </w:r>
    </w:p>
  </w:footnote>
  <w:footnote w:id="50">
    <w:p w14:paraId="0A2BD8C2" w14:textId="77777777" w:rsidR="0012503D" w:rsidRDefault="00000000">
      <w:pPr>
        <w:ind w:left="720"/>
        <w:rPr>
          <w:sz w:val="20"/>
          <w:szCs w:val="20"/>
        </w:rPr>
      </w:pPr>
      <w:r>
        <w:rPr>
          <w:vertAlign w:val="superscript"/>
        </w:rPr>
        <w:footnoteRef/>
      </w:r>
      <w:r>
        <w:t xml:space="preserve"> Pamela Chasek, “Stockholm Convention on Persistent Organic Pollutants.”</w:t>
      </w:r>
    </w:p>
  </w:footnote>
  <w:footnote w:id="51">
    <w:p w14:paraId="4F273AF4" w14:textId="77777777" w:rsidR="0012503D" w:rsidRDefault="00000000">
      <w:pPr>
        <w:ind w:left="720"/>
        <w:rPr>
          <w:sz w:val="20"/>
          <w:szCs w:val="20"/>
        </w:rPr>
      </w:pPr>
      <w:r>
        <w:rPr>
          <w:vertAlign w:val="superscript"/>
        </w:rPr>
        <w:footnoteRef/>
      </w:r>
      <w:r>
        <w:t xml:space="preserve"> Pamela Chasek, “Stockholm Convention on Persistent Organic Pollutants.”</w:t>
      </w:r>
    </w:p>
  </w:footnote>
  <w:footnote w:id="52">
    <w:p w14:paraId="2F0D907D" w14:textId="77777777" w:rsidR="0012503D" w:rsidRDefault="00000000">
      <w:pPr>
        <w:ind w:left="720" w:hanging="720"/>
      </w:pPr>
      <w:r>
        <w:rPr>
          <w:vertAlign w:val="superscript"/>
        </w:rPr>
        <w:footnoteRef/>
      </w:r>
      <w:r>
        <w:t xml:space="preserve"> UN Environmental Programme, </w:t>
      </w:r>
      <w:r>
        <w:rPr>
          <w:i/>
          <w:iCs/>
        </w:rPr>
        <w:t xml:space="preserve">Minamata Convention on Mercury: Text and Annexes, </w:t>
      </w:r>
      <w:r>
        <w:t xml:space="preserve">(booklet, September 2019), accessed January 12, 2026, </w:t>
      </w:r>
      <w:hyperlink r:id="rId31">
        <w:r>
          <w:rPr>
            <w:color w:val="1155CC"/>
            <w:u w:val="single"/>
          </w:rPr>
          <w:t>https://minamataconvention.org/sites/default/files/documents/information_document/Minamata‑Convention‑booklet‑Sep2019‑EN.pdf</w:t>
        </w:r>
      </w:hyperlink>
      <w:r>
        <w:t xml:space="preserve">. </w:t>
      </w:r>
    </w:p>
  </w:footnote>
  <w:footnote w:id="53">
    <w:p w14:paraId="366CC9D4" w14:textId="77777777" w:rsidR="0012503D" w:rsidRDefault="00000000">
      <w:pPr>
        <w:ind w:left="720"/>
        <w:rPr>
          <w:sz w:val="20"/>
          <w:szCs w:val="20"/>
        </w:rPr>
      </w:pPr>
      <w:r>
        <w:rPr>
          <w:vertAlign w:val="superscript"/>
        </w:rPr>
        <w:footnoteRef/>
      </w:r>
      <w:r>
        <w:t xml:space="preserve"> UN Environmental Programme, </w:t>
      </w:r>
      <w:r>
        <w:rPr>
          <w:i/>
          <w:iCs/>
        </w:rPr>
        <w:t>Minamata Convention on Mercury: Text and Annexes.</w:t>
      </w:r>
    </w:p>
  </w:footnote>
  <w:footnote w:id="54">
    <w:p w14:paraId="06878942" w14:textId="77777777" w:rsidR="0012503D" w:rsidRDefault="00000000">
      <w:pPr>
        <w:ind w:left="720" w:hanging="720"/>
      </w:pPr>
      <w:r>
        <w:rPr>
          <w:vertAlign w:val="superscript"/>
        </w:rPr>
        <w:footnoteRef/>
      </w:r>
      <w:r>
        <w:t xml:space="preserve"> Delia Paul, Keith Ripley, and Denise Young, “Summary of the Fifth Meeting of the Conference of the Parties to the Minamata Convention on Mercury (COP‑5), 30 October – 3 November 2023,”</w:t>
      </w:r>
      <w:r>
        <w:rPr>
          <w:i/>
          <w:iCs/>
        </w:rPr>
        <w:t xml:space="preserve"> International Institute for Sustainable Development</w:t>
      </w:r>
      <w:r>
        <w:t xml:space="preserve">, accessed January 12, 2026, </w:t>
      </w:r>
      <w:hyperlink r:id="rId32">
        <w:r>
          <w:rPr>
            <w:color w:val="1155CC"/>
            <w:u w:val="single"/>
          </w:rPr>
          <w:t>https://enb.iisd.org/minamata‑convention‑mercury‑cop5‑summary</w:t>
        </w:r>
      </w:hyperlink>
      <w:r>
        <w:t xml:space="preserve">. </w:t>
      </w:r>
    </w:p>
  </w:footnote>
  <w:footnote w:id="55">
    <w:p w14:paraId="18A96825" w14:textId="77777777" w:rsidR="0012503D" w:rsidRDefault="00000000">
      <w:r>
        <w:rPr>
          <w:vertAlign w:val="superscript"/>
        </w:rPr>
        <w:footnoteRef/>
      </w:r>
      <w:r>
        <w:t xml:space="preserve"> UN Environment Programme, “The Global Environmental Outlook,” accessed January 12, 2026, </w:t>
      </w:r>
      <w:hyperlink r:id="rId33">
        <w:r>
          <w:rPr>
            <w:color w:val="1155CC"/>
            <w:u w:val="single"/>
          </w:rPr>
          <w:t>https://www.unep.org/geo/</w:t>
        </w:r>
      </w:hyperlink>
      <w:r>
        <w:t xml:space="preserve">. </w:t>
      </w:r>
    </w:p>
  </w:footnote>
  <w:footnote w:id="56">
    <w:p w14:paraId="360D0BA3" w14:textId="77777777" w:rsidR="0012503D" w:rsidRDefault="00000000">
      <w:pPr>
        <w:rPr>
          <w:sz w:val="20"/>
          <w:szCs w:val="20"/>
        </w:rPr>
      </w:pPr>
      <w:r>
        <w:rPr>
          <w:vertAlign w:val="superscript"/>
        </w:rPr>
        <w:footnoteRef/>
      </w:r>
      <w:r>
        <w:t xml:space="preserve"> UN Environment Programme, “The Global Environmental Outlook.”</w:t>
      </w:r>
    </w:p>
  </w:footnote>
  <w:footnote w:id="57">
    <w:p w14:paraId="2D844EE6" w14:textId="77777777" w:rsidR="0012503D" w:rsidRDefault="00000000">
      <w:pPr>
        <w:ind w:left="720" w:hanging="720"/>
      </w:pPr>
      <w:r>
        <w:rPr>
          <w:vertAlign w:val="superscript"/>
        </w:rPr>
        <w:footnoteRef/>
      </w:r>
      <w:r>
        <w:t xml:space="preserve"> United Nations Environment Programme, “New Accessible Mapping Tool Helps Identify Hotspots of Climate, Conflict Stresses,” April 29, 2022, </w:t>
      </w:r>
      <w:hyperlink r:id="rId34">
        <w:r>
          <w:rPr>
            <w:color w:val="1155CC"/>
            <w:u w:val="single"/>
          </w:rPr>
          <w:t>https://www.unep.org/technical-highlight/new-accessible-mapping-tool-helps-identify-hotspots-climate-conflict-stresses</w:t>
        </w:r>
      </w:hyperlink>
      <w:r>
        <w:t xml:space="preserve">. </w:t>
      </w:r>
    </w:p>
  </w:footnote>
  <w:footnote w:id="58">
    <w:p w14:paraId="47D3897F" w14:textId="77777777" w:rsidR="0012503D" w:rsidRDefault="00000000">
      <w:pPr>
        <w:ind w:left="720"/>
        <w:rPr>
          <w:sz w:val="20"/>
          <w:szCs w:val="20"/>
        </w:rPr>
      </w:pPr>
      <w:r>
        <w:rPr>
          <w:vertAlign w:val="superscript"/>
        </w:rPr>
        <w:footnoteRef/>
      </w:r>
      <w:r>
        <w:t xml:space="preserve"> United Nations Environment Programme, “New Accessible Mapping Tool Helps Identify Hotspots of Climate, Conflict Stresses.”</w:t>
      </w:r>
    </w:p>
  </w:footnote>
  <w:footnote w:id="59">
    <w:p w14:paraId="194EB2F8" w14:textId="77777777" w:rsidR="0012503D" w:rsidRDefault="00000000">
      <w:pPr>
        <w:ind w:left="720" w:hanging="720"/>
      </w:pPr>
      <w:r>
        <w:rPr>
          <w:vertAlign w:val="superscript"/>
        </w:rPr>
        <w:footnoteRef/>
      </w:r>
      <w:r>
        <w:t xml:space="preserve"> United Nations Human Rights Council,</w:t>
      </w:r>
      <w:r>
        <w:rPr>
          <w:i/>
          <w:iCs/>
        </w:rPr>
        <w:t xml:space="preserve"> The human right to a clean, healthy and sustainable environment, </w:t>
      </w:r>
      <w:r>
        <w:t>Res. 48/13, UN Doc. A/HRC/RES/48/13, adopted October 8, 2021.</w:t>
      </w:r>
    </w:p>
  </w:footnote>
  <w:footnote w:id="60">
    <w:p w14:paraId="7B3481CC" w14:textId="77777777" w:rsidR="0012503D" w:rsidRDefault="00000000">
      <w:pPr>
        <w:ind w:left="720" w:hanging="720"/>
      </w:pPr>
      <w:r>
        <w:rPr>
          <w:vertAlign w:val="superscript"/>
        </w:rPr>
        <w:footnoteRef/>
      </w:r>
      <w:r>
        <w:t xml:space="preserve"> Office of the United Nations High Commissioner for Human Rights, “Right to Healthy Environment,” statement by Assistant Secretary‑General Brands Kehris at Expert Seminar on “UN recognition of the right to a clean, healthy, and sustainable environment: past developments and future prospects,” New York University, April 12, 2022, OHCHR, accessed January 12, 2026, </w:t>
      </w:r>
      <w:hyperlink r:id="rId35">
        <w:r>
          <w:rPr>
            <w:color w:val="1155CC"/>
            <w:u w:val="single"/>
          </w:rPr>
          <w:t>https://www.ohchr.org/en/statements‑and‑speeches/2022/04/right‑healthy‑environment</w:t>
        </w:r>
      </w:hyperlink>
      <w:r>
        <w:t xml:space="preserve">. </w:t>
      </w:r>
    </w:p>
  </w:footnote>
  <w:footnote w:id="61">
    <w:p w14:paraId="286467AC" w14:textId="77777777" w:rsidR="0012503D" w:rsidRDefault="00000000">
      <w:pPr>
        <w:ind w:left="720" w:hanging="720"/>
      </w:pPr>
      <w:r>
        <w:rPr>
          <w:vertAlign w:val="superscript"/>
        </w:rPr>
        <w:footnoteRef/>
      </w:r>
      <w:r>
        <w:t xml:space="preserve"> Office of the United Nations High Commissioner for Human Rights, “Special Rapporteur on the Human Right to a Healthy Environment,” </w:t>
      </w:r>
      <w:r>
        <w:rPr>
          <w:i/>
          <w:iCs/>
        </w:rPr>
        <w:t>OHCHR</w:t>
      </w:r>
      <w:r>
        <w:t xml:space="preserve">, accessed January 12, 2026, </w:t>
      </w:r>
      <w:hyperlink r:id="rId36">
        <w:r>
          <w:rPr>
            <w:color w:val="1155CC"/>
            <w:u w:val="single"/>
          </w:rPr>
          <w:t>https://www.ohchr.org/en/special‑procedures/sr‑environment</w:t>
        </w:r>
      </w:hyperlink>
      <w:r>
        <w:t xml:space="preserve">. </w:t>
      </w:r>
    </w:p>
  </w:footnote>
  <w:footnote w:id="62">
    <w:p w14:paraId="2EE9EF00" w14:textId="77777777" w:rsidR="0012503D" w:rsidRDefault="00000000">
      <w:pPr>
        <w:ind w:left="720"/>
        <w:rPr>
          <w:sz w:val="20"/>
          <w:szCs w:val="20"/>
        </w:rPr>
      </w:pPr>
      <w:r>
        <w:rPr>
          <w:vertAlign w:val="superscript"/>
        </w:rPr>
        <w:footnoteRef/>
      </w:r>
      <w:r>
        <w:t xml:space="preserve"> Office of the United Nations High Commissioner for Human Rights, “Special Rapporteur on the Human Right to a Healthy Environment.”</w:t>
      </w:r>
    </w:p>
  </w:footnote>
  <w:footnote w:id="63">
    <w:p w14:paraId="5F82B1B5" w14:textId="77777777" w:rsidR="0012503D" w:rsidRDefault="00000000">
      <w:r>
        <w:rPr>
          <w:vertAlign w:val="superscript"/>
        </w:rPr>
        <w:footnoteRef/>
      </w:r>
      <w:r>
        <w:t xml:space="preserve"> “Industrial Revolution,” History.</w:t>
      </w:r>
    </w:p>
  </w:footnote>
  <w:footnote w:id="64">
    <w:p w14:paraId="33E85D5F" w14:textId="77777777" w:rsidR="0012503D" w:rsidRDefault="00000000">
      <w:r>
        <w:rPr>
          <w:vertAlign w:val="superscript"/>
        </w:rPr>
        <w:footnoteRef/>
      </w:r>
      <w:r>
        <w:t xml:space="preserve"> U.S. Environmental Protection Agency, “Environmental Justice Timeline.”</w:t>
      </w:r>
    </w:p>
  </w:footnote>
  <w:footnote w:id="65">
    <w:p w14:paraId="7452DF93" w14:textId="77777777" w:rsidR="0012503D" w:rsidRDefault="00000000">
      <w:pPr>
        <w:ind w:left="720"/>
        <w:rPr>
          <w:sz w:val="20"/>
          <w:szCs w:val="20"/>
        </w:rPr>
      </w:pPr>
      <w:r>
        <w:rPr>
          <w:vertAlign w:val="superscript"/>
        </w:rPr>
        <w:footnoteRef/>
      </w:r>
      <w:r>
        <w:t xml:space="preserve"> Environmental Defense Fund, </w:t>
      </w:r>
      <w:r>
        <w:rPr>
          <w:i/>
          <w:iCs/>
        </w:rPr>
        <w:t>Equity and Environmental Justice at EDF: Vision and Principles.</w:t>
      </w:r>
    </w:p>
  </w:footnote>
  <w:footnote w:id="66">
    <w:p w14:paraId="2A57F0FB" w14:textId="77777777" w:rsidR="0012503D" w:rsidRPr="007963AD" w:rsidRDefault="00000000">
      <w:pPr>
        <w:ind w:left="720" w:hanging="720"/>
        <w:rPr>
          <w:lang w:val="fr-FR"/>
        </w:rPr>
      </w:pPr>
      <w:r>
        <w:rPr>
          <w:vertAlign w:val="superscript"/>
        </w:rPr>
        <w:footnoteRef/>
      </w:r>
      <w:r>
        <w:t xml:space="preserve"> “How Artificial Intelligence Is Helping Tackle Environmental Challenges.” </w:t>
      </w:r>
      <w:r w:rsidRPr="007963AD">
        <w:rPr>
          <w:lang w:val="fr-FR"/>
        </w:rPr>
        <w:t>UN Environment Programme, 2022. https://www.unep.org/news-and-stories/story/how-artificial-intelligence-helping-tackle-environmental-challenges.</w:t>
      </w:r>
    </w:p>
  </w:footnote>
  <w:footnote w:id="67">
    <w:p w14:paraId="0AC49A4A" w14:textId="77777777" w:rsidR="0012503D" w:rsidRPr="007963AD" w:rsidRDefault="00000000">
      <w:pPr>
        <w:pBdr>
          <w:top w:val="nil"/>
          <w:left w:val="nil"/>
          <w:bottom w:val="nil"/>
          <w:right w:val="nil"/>
          <w:between w:val="nil"/>
        </w:pBdr>
        <w:ind w:left="720" w:hanging="720"/>
        <w:rPr>
          <w:lang w:val="fr-FR"/>
        </w:rPr>
      </w:pPr>
      <w:r>
        <w:rPr>
          <w:vertAlign w:val="superscript"/>
        </w:rPr>
        <w:footnoteRef/>
      </w:r>
      <w:r>
        <w:t xml:space="preserve"> Smith, Maggie. “What Industries Are Using AI? Current Use and Future Expectations.” </w:t>
      </w:r>
      <w:r w:rsidRPr="007963AD">
        <w:rPr>
          <w:lang w:val="fr-FR"/>
        </w:rPr>
        <w:t>NC Commerce, 2024. https://www.commerce.nc.gov/news/the-lead-feed/what-industries-are-using-ai.</w:t>
      </w:r>
    </w:p>
  </w:footnote>
  <w:footnote w:id="68">
    <w:p w14:paraId="335FB8D7" w14:textId="77777777" w:rsidR="0012503D" w:rsidRPr="007963AD" w:rsidRDefault="00000000">
      <w:pPr>
        <w:pBdr>
          <w:top w:val="nil"/>
          <w:left w:val="nil"/>
          <w:bottom w:val="nil"/>
          <w:right w:val="nil"/>
          <w:between w:val="nil"/>
        </w:pBdr>
        <w:ind w:left="720" w:hanging="720"/>
        <w:rPr>
          <w:lang w:val="fr-FR"/>
        </w:rPr>
      </w:pPr>
      <w:r>
        <w:rPr>
          <w:vertAlign w:val="superscript"/>
        </w:rPr>
        <w:footnoteRef/>
      </w:r>
      <w:r>
        <w:t xml:space="preserve"> “AI Has an Environmental Problem. Here’s What the World Can Do about That.” </w:t>
      </w:r>
      <w:r w:rsidRPr="007963AD">
        <w:rPr>
          <w:lang w:val="fr-FR"/>
        </w:rPr>
        <w:t xml:space="preserve">UN Environment Programme, 2025. </w:t>
      </w:r>
      <w:hyperlink r:id="rId37">
        <w:r w:rsidRPr="007963AD">
          <w:rPr>
            <w:lang w:val="fr-FR"/>
          </w:rPr>
          <w:t>https://www.unep.org/news-and-stories/story/ai-has-environmental-problem-heres-what-world-can-do-about</w:t>
        </w:r>
      </w:hyperlink>
      <w:r w:rsidRPr="007963AD">
        <w:rPr>
          <w:lang w:val="fr-FR"/>
        </w:rPr>
        <w:t>.</w:t>
      </w:r>
    </w:p>
  </w:footnote>
  <w:footnote w:id="69">
    <w:p w14:paraId="7A42CD2B" w14:textId="77777777" w:rsidR="0012503D" w:rsidRDefault="00000000">
      <w:pPr>
        <w:pBdr>
          <w:top w:val="nil"/>
          <w:left w:val="nil"/>
          <w:bottom w:val="nil"/>
          <w:right w:val="nil"/>
          <w:between w:val="nil"/>
        </w:pBdr>
        <w:ind w:left="720" w:hanging="720"/>
      </w:pPr>
      <w:r>
        <w:rPr>
          <w:vertAlign w:val="superscript"/>
        </w:rPr>
        <w:footnoteRef/>
      </w:r>
      <w:r>
        <w:t xml:space="preserve"> ibid</w:t>
      </w:r>
    </w:p>
  </w:footnote>
  <w:footnote w:id="70">
    <w:p w14:paraId="6FC5EC3F" w14:textId="77777777" w:rsidR="0012503D" w:rsidRDefault="00000000">
      <w:pPr>
        <w:pBdr>
          <w:top w:val="nil"/>
          <w:left w:val="nil"/>
          <w:bottom w:val="nil"/>
          <w:right w:val="nil"/>
          <w:between w:val="nil"/>
        </w:pBdr>
        <w:ind w:left="720" w:hanging="720"/>
      </w:pPr>
      <w:r>
        <w:rPr>
          <w:vertAlign w:val="superscript"/>
        </w:rPr>
        <w:footnoteRef/>
      </w:r>
      <w:r>
        <w:t xml:space="preserve"> McGovern, Susie. “Measuring the Environmental Cost of Artificial Intelligence and Its Data Centers - Hoosier Environmental Council.” Hoosier Environmental Council - all. Together. Now., November 10, 2025. </w:t>
      </w:r>
      <w:hyperlink r:id="rId38">
        <w:r>
          <w:t>https://www.hecweb.org/2025/06/28/measuring-the-environmental-cost-of-artificial-intelligence-and-their-data-centers/</w:t>
        </w:r>
      </w:hyperlink>
    </w:p>
  </w:footnote>
  <w:footnote w:id="71">
    <w:p w14:paraId="17050FDF" w14:textId="77777777" w:rsidR="0012503D" w:rsidRDefault="00000000">
      <w:pPr>
        <w:pBdr>
          <w:top w:val="nil"/>
          <w:left w:val="nil"/>
          <w:bottom w:val="nil"/>
          <w:right w:val="nil"/>
          <w:between w:val="nil"/>
        </w:pBdr>
        <w:ind w:left="720" w:hanging="720"/>
      </w:pPr>
      <w:r>
        <w:rPr>
          <w:vertAlign w:val="superscript"/>
        </w:rPr>
        <w:footnoteRef/>
      </w:r>
      <w:r>
        <w:t xml:space="preserve"> Kanungo, Alokya. “The Real Environmental Impact of AI.” Earth.Org, March 5, 2024. https://earth.org/the-green-dilemma-can-ai-fulfil-its-potential-without-harming-the-environment/.</w:t>
      </w:r>
    </w:p>
  </w:footnote>
  <w:footnote w:id="72">
    <w:p w14:paraId="383E8F8A" w14:textId="77777777" w:rsidR="0012503D" w:rsidRDefault="00000000">
      <w:pPr>
        <w:pBdr>
          <w:top w:val="nil"/>
          <w:left w:val="nil"/>
          <w:bottom w:val="nil"/>
          <w:right w:val="nil"/>
          <w:between w:val="nil"/>
        </w:pBdr>
        <w:ind w:left="720" w:hanging="720"/>
      </w:pPr>
      <w:r>
        <w:rPr>
          <w:vertAlign w:val="superscript"/>
        </w:rPr>
        <w:footnoteRef/>
      </w:r>
      <w:r>
        <w:t xml:space="preserve"> Sara Beery et al., “The Potential for AI to Revolutionize Conservation: A Horizon Scan,” Trends in Ecology &amp; Evolution 40, no. 2 (2024): 191–207, https://doi.org/10.1016/j.tree.2024.11.013.</w:t>
      </w:r>
    </w:p>
  </w:footnote>
  <w:footnote w:id="73">
    <w:p w14:paraId="53157D72" w14:textId="77777777" w:rsidR="0012503D" w:rsidRDefault="00000000">
      <w:pPr>
        <w:pBdr>
          <w:top w:val="nil"/>
          <w:left w:val="nil"/>
          <w:bottom w:val="nil"/>
          <w:right w:val="nil"/>
          <w:between w:val="nil"/>
        </w:pBdr>
        <w:ind w:left="720" w:hanging="720"/>
      </w:pPr>
      <w:r>
        <w:rPr>
          <w:vertAlign w:val="superscript"/>
        </w:rPr>
        <w:footnoteRef/>
      </w:r>
      <w:r>
        <w:t xml:space="preserve"> United Nations Environment Programme, “Sustainable Digitalization,” UNEP, last modified November 26, 2024, https://www.unep.org/topics/digital-transformations/sustainable-digitalization.</w:t>
      </w:r>
    </w:p>
  </w:footnote>
  <w:footnote w:id="74">
    <w:p w14:paraId="7A7A4FDC" w14:textId="77777777" w:rsidR="0012503D" w:rsidRDefault="00000000">
      <w:pPr>
        <w:pBdr>
          <w:top w:val="nil"/>
          <w:left w:val="nil"/>
          <w:bottom w:val="nil"/>
          <w:right w:val="nil"/>
          <w:between w:val="nil"/>
        </w:pBdr>
        <w:ind w:left="720" w:hanging="720"/>
      </w:pPr>
      <w:r>
        <w:rPr>
          <w:vertAlign w:val="superscript"/>
        </w:rPr>
        <w:footnoteRef/>
      </w:r>
      <w:r>
        <w:t>Amnesty International, “DRC: Powering Change or Business as Usual?,” September 11, 2023, https://www.amnesty.org/en/documents/AFR62/7009/2023/en/.</w:t>
      </w:r>
    </w:p>
  </w:footnote>
  <w:footnote w:id="75">
    <w:p w14:paraId="415695C5" w14:textId="77777777" w:rsidR="0012503D" w:rsidRDefault="00000000">
      <w:pPr>
        <w:pBdr>
          <w:top w:val="nil"/>
          <w:left w:val="nil"/>
          <w:bottom w:val="nil"/>
          <w:right w:val="nil"/>
          <w:between w:val="nil"/>
        </w:pBdr>
        <w:ind w:left="720" w:hanging="720"/>
      </w:pPr>
      <w:r>
        <w:rPr>
          <w:vertAlign w:val="superscript"/>
        </w:rPr>
        <w:footnoteRef/>
      </w:r>
      <w:r>
        <w:t xml:space="preserve"> Human Rights Watch, “Indonesia: Nickel Industry Causing Environmental Harm,” December 1, 2022, https://www.hrw.org/news/2022/12/01/indonesia-nickel-industry-causing-environmental-harm.</w:t>
      </w:r>
    </w:p>
  </w:footnote>
  <w:footnote w:id="76">
    <w:p w14:paraId="31BC8128" w14:textId="77777777" w:rsidR="0012503D" w:rsidRDefault="00000000">
      <w:pPr>
        <w:pBdr>
          <w:top w:val="nil"/>
          <w:left w:val="nil"/>
          <w:bottom w:val="nil"/>
          <w:right w:val="nil"/>
          <w:between w:val="nil"/>
        </w:pBdr>
        <w:ind w:left="720" w:hanging="720"/>
      </w:pPr>
      <w:r>
        <w:rPr>
          <w:vertAlign w:val="superscript"/>
        </w:rPr>
        <w:footnoteRef/>
      </w:r>
      <w:r>
        <w:t xml:space="preserve"> United Nations Environment Programme, “A Sustainable, Environmentally Sound Digital Transformation,” speech by Inger Andersen, 21 September 2024, https://www.unep.org/news-and-stories/speech/sustainable-environmentally-sound-digital-transformation.</w:t>
      </w:r>
    </w:p>
  </w:footnote>
  <w:footnote w:id="77">
    <w:p w14:paraId="27B3A629" w14:textId="77777777" w:rsidR="0012503D" w:rsidRDefault="00000000">
      <w:pPr>
        <w:pBdr>
          <w:top w:val="nil"/>
          <w:left w:val="nil"/>
          <w:bottom w:val="nil"/>
          <w:right w:val="nil"/>
          <w:between w:val="nil"/>
        </w:pBdr>
        <w:ind w:left="720" w:hanging="720"/>
      </w:pPr>
      <w:r>
        <w:rPr>
          <w:vertAlign w:val="superscript"/>
        </w:rPr>
        <w:footnoteRef/>
      </w:r>
      <w:r>
        <w:t xml:space="preserve"> Ibid.</w:t>
      </w:r>
    </w:p>
  </w:footnote>
  <w:footnote w:id="78">
    <w:p w14:paraId="31FA4970" w14:textId="77777777" w:rsidR="0012503D" w:rsidRDefault="00000000">
      <w:pPr>
        <w:pBdr>
          <w:top w:val="nil"/>
          <w:left w:val="nil"/>
          <w:bottom w:val="nil"/>
          <w:right w:val="nil"/>
          <w:between w:val="nil"/>
        </w:pBdr>
        <w:ind w:left="720" w:hanging="720"/>
      </w:pPr>
      <w:r>
        <w:rPr>
          <w:vertAlign w:val="superscript"/>
        </w:rPr>
        <w:footnoteRef/>
      </w:r>
      <w:r>
        <w:t xml:space="preserve"> Ibid.</w:t>
      </w:r>
    </w:p>
  </w:footnote>
  <w:footnote w:id="79">
    <w:p w14:paraId="69E01FA8" w14:textId="77777777" w:rsidR="0012503D" w:rsidRDefault="00000000">
      <w:pPr>
        <w:pBdr>
          <w:top w:val="nil"/>
          <w:left w:val="nil"/>
          <w:bottom w:val="nil"/>
          <w:right w:val="nil"/>
          <w:between w:val="nil"/>
        </w:pBdr>
        <w:ind w:left="720" w:hanging="720"/>
      </w:pPr>
      <w:r>
        <w:rPr>
          <w:vertAlign w:val="superscript"/>
        </w:rPr>
        <w:footnoteRef/>
      </w:r>
      <w:r>
        <w:t xml:space="preserve"> United Nations Environment Programme, “Artificial Intelligence (AI) end-to-end: The Environmental Impact of the Full AI Lifecycle Needs to be Comprehensively Assessed,” Issue Note, September 2024, https://wedocs.unep.org/items/5f3afe87-5419-439b-a6ee-14240b2605e9.</w:t>
      </w:r>
    </w:p>
  </w:footnote>
  <w:footnote w:id="80">
    <w:p w14:paraId="562B654B" w14:textId="77777777" w:rsidR="0012503D" w:rsidRDefault="00000000">
      <w:pPr>
        <w:pBdr>
          <w:top w:val="nil"/>
          <w:left w:val="nil"/>
          <w:bottom w:val="nil"/>
          <w:right w:val="nil"/>
          <w:between w:val="nil"/>
        </w:pBdr>
        <w:ind w:left="720" w:hanging="720"/>
      </w:pPr>
      <w:r>
        <w:rPr>
          <w:vertAlign w:val="superscript"/>
        </w:rPr>
        <w:footnoteRef/>
      </w:r>
      <w:r>
        <w:t xml:space="preserve"> UNESCO, “Recommendation on the Ethics of Artificial Intelligence,” 2021, https://unesdoc.unesco.org/ark:/48223/pf0000381137_eng</w:t>
      </w:r>
    </w:p>
  </w:footnote>
  <w:footnote w:id="81">
    <w:p w14:paraId="59D9D259" w14:textId="77777777" w:rsidR="0012503D" w:rsidRDefault="00000000">
      <w:pPr>
        <w:pBdr>
          <w:top w:val="nil"/>
          <w:left w:val="nil"/>
          <w:bottom w:val="nil"/>
          <w:right w:val="nil"/>
          <w:between w:val="nil"/>
        </w:pBdr>
        <w:ind w:left="720" w:hanging="720"/>
      </w:pPr>
      <w:r>
        <w:rPr>
          <w:vertAlign w:val="superscript"/>
        </w:rPr>
        <w:footnoteRef/>
      </w:r>
      <w:r>
        <w:t xml:space="preserve"> United Nations Environment Programme, “Global Environmental Data Strategy (GEDS),” last updated March 20, 2025, https://www.unep.org/topics/digital-transformations/global-environmental-data-strategy-geds.</w:t>
      </w:r>
    </w:p>
  </w:footnote>
  <w:footnote w:id="82">
    <w:p w14:paraId="146793F3" w14:textId="77777777" w:rsidR="0012503D" w:rsidRDefault="00000000">
      <w:pPr>
        <w:pBdr>
          <w:top w:val="nil"/>
          <w:left w:val="nil"/>
          <w:bottom w:val="nil"/>
          <w:right w:val="nil"/>
          <w:between w:val="nil"/>
        </w:pBdr>
        <w:ind w:left="720" w:hanging="720"/>
      </w:pPr>
      <w:r>
        <w:rPr>
          <w:vertAlign w:val="superscript"/>
        </w:rPr>
        <w:footnoteRef/>
      </w:r>
      <w:r>
        <w:t xml:space="preserve"> United Nations Environment Programme, Artificial Intelligence, Climate Change and Health: Assessing the Evidence for Climate-Smart and Health-Promoting AI, 2025, https://wedocs.unep.org/rest/api/core/bitstreams/99e53378-3ba9-4bdc-918a-644ce5611896/content.</w:t>
      </w:r>
    </w:p>
  </w:footnote>
  <w:footnote w:id="83">
    <w:p w14:paraId="64A38F2B" w14:textId="77777777" w:rsidR="0012503D" w:rsidRDefault="00000000">
      <w:pPr>
        <w:pBdr>
          <w:top w:val="nil"/>
          <w:left w:val="nil"/>
          <w:bottom w:val="nil"/>
          <w:right w:val="nil"/>
          <w:between w:val="nil"/>
        </w:pBdr>
        <w:ind w:left="720" w:hanging="720"/>
      </w:pPr>
      <w:r>
        <w:rPr>
          <w:vertAlign w:val="superscript"/>
        </w:rPr>
        <w:footnoteRef/>
      </w:r>
      <w:r>
        <w:t xml:space="preserve"> United Nations General Assembly, “Seizing the Opportunities of Safe, Secure and Trustworthy Artificial Intelligence Systems for Sustainable Development,” A/RES/78/265, adopted March 21, 2024, https://docs.un.org/en/A/res/78/265.</w:t>
      </w:r>
    </w:p>
  </w:footnote>
  <w:footnote w:id="84">
    <w:p w14:paraId="71B83FCE" w14:textId="77777777" w:rsidR="0012503D" w:rsidRDefault="00000000">
      <w:pPr>
        <w:pBdr>
          <w:top w:val="nil"/>
          <w:left w:val="nil"/>
          <w:bottom w:val="nil"/>
          <w:right w:val="nil"/>
          <w:between w:val="nil"/>
        </w:pBdr>
        <w:ind w:left="720" w:hanging="720"/>
      </w:pPr>
      <w:r>
        <w:rPr>
          <w:vertAlign w:val="superscript"/>
        </w:rPr>
        <w:footnoteRef/>
      </w:r>
      <w:r>
        <w:t xml:space="preserve"> International Telecommunication Union, “Green Digital Action,” accessed December 1, 2025, https://www.itu.int/initiatives/green-digital-action/.</w:t>
      </w:r>
    </w:p>
  </w:footnote>
  <w:footnote w:id="85">
    <w:p w14:paraId="4474C436" w14:textId="77777777" w:rsidR="0012503D" w:rsidRDefault="00000000">
      <w:pPr>
        <w:pBdr>
          <w:top w:val="nil"/>
          <w:left w:val="nil"/>
          <w:bottom w:val="nil"/>
          <w:right w:val="nil"/>
          <w:between w:val="nil"/>
        </w:pBdr>
        <w:ind w:left="720" w:hanging="720"/>
      </w:pPr>
      <w:r>
        <w:rPr>
          <w:vertAlign w:val="superscript"/>
        </w:rPr>
        <w:footnoteRef/>
      </w:r>
      <w:r>
        <w:t xml:space="preserve"> Basel Convention on the Control of Transboundary Movements of Hazardous Wastes and Their Disposal, “Text of the Convention,” Basel Convention Secretariat, adopted March 22, 1989, accessed December 1, 2025, https://www.basel.int/TheConvention/Overview/TextoftheConvention/tabid/1275/Default.aspx.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86FB0" w14:textId="77777777" w:rsidR="0012503D" w:rsidRDefault="0012503D"/>
  <w:p w14:paraId="08E18E21" w14:textId="77777777" w:rsidR="0012503D" w:rsidRDefault="0012503D"/>
  <w:p w14:paraId="50163DA3" w14:textId="77777777" w:rsidR="0012503D" w:rsidRDefault="0012503D"/>
  <w:p w14:paraId="00477228" w14:textId="77777777" w:rsidR="0012503D" w:rsidRDefault="00000000">
    <w:r>
      <w:rPr>
        <w:noProof/>
      </w:rPr>
      <w:drawing>
        <wp:anchor distT="0" distB="0" distL="0" distR="0" simplePos="0" relativeHeight="251658240" behindDoc="1" locked="0" layoutInCell="1" hidden="0" allowOverlap="1" wp14:anchorId="58BDDBEA" wp14:editId="06AA7A00">
          <wp:simplePos x="0" y="0"/>
          <wp:positionH relativeFrom="page">
            <wp:posOffset>276225</wp:posOffset>
          </wp:positionH>
          <wp:positionV relativeFrom="page">
            <wp:posOffset>133350</wp:posOffset>
          </wp:positionV>
          <wp:extent cx="942975" cy="94297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42975" cy="94297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F84DF" w14:textId="77777777" w:rsidR="0012503D" w:rsidRDefault="00000000">
    <w:pPr>
      <w:jc w:val="center"/>
      <w:rPr>
        <w:b/>
        <w:bCs/>
        <w:sz w:val="24"/>
        <w:szCs w:val="24"/>
      </w:rPr>
    </w:pPr>
    <w:r>
      <w:rPr>
        <w:b/>
        <w:bCs/>
        <w:noProof/>
        <w:sz w:val="24"/>
        <w:szCs w:val="24"/>
      </w:rPr>
      <w:drawing>
        <wp:anchor distT="0" distB="0" distL="0" distR="0" simplePos="0" relativeHeight="251659264" behindDoc="1" locked="0" layoutInCell="1" hidden="0" allowOverlap="1" wp14:anchorId="55170B3F" wp14:editId="70174108">
          <wp:simplePos x="0" y="0"/>
          <wp:positionH relativeFrom="page">
            <wp:posOffset>232209</wp:posOffset>
          </wp:positionH>
          <wp:positionV relativeFrom="page">
            <wp:posOffset>200025</wp:posOffset>
          </wp:positionV>
          <wp:extent cx="942975" cy="94297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42975" cy="942975"/>
                  </a:xfrm>
                  <a:prstGeom prst="rect">
                    <a:avLst/>
                  </a:prstGeom>
                  <a:ln/>
                </pic:spPr>
              </pic:pic>
            </a:graphicData>
          </a:graphic>
        </wp:anchor>
      </w:drawing>
    </w:r>
    <w:r>
      <w:rPr>
        <w:b/>
        <w:bCs/>
        <w:sz w:val="24"/>
        <w:szCs w:val="24"/>
      </w:rPr>
      <w:t>Kennesaw State University High School Model United Nations Conference</w:t>
    </w:r>
  </w:p>
  <w:p w14:paraId="5EB92152" w14:textId="77777777" w:rsidR="0012503D" w:rsidRDefault="00000000">
    <w:pPr>
      <w:jc w:val="center"/>
      <w:rPr>
        <w:b/>
        <w:bCs/>
        <w:sz w:val="24"/>
        <w:szCs w:val="24"/>
      </w:rPr>
    </w:pPr>
    <w:r>
      <w:rPr>
        <w:b/>
        <w:bCs/>
        <w:sz w:val="24"/>
        <w:szCs w:val="24"/>
      </w:rPr>
      <w:t>United Nations Environmental Assembly</w:t>
    </w:r>
  </w:p>
  <w:p w14:paraId="7F403D79" w14:textId="77777777" w:rsidR="0012503D" w:rsidRDefault="00000000">
    <w:pPr>
      <w:jc w:val="center"/>
      <w:rPr>
        <w:b/>
        <w:bCs/>
        <w:sz w:val="24"/>
        <w:szCs w:val="24"/>
      </w:rPr>
    </w:pPr>
    <w:r>
      <w:rPr>
        <w:b/>
        <w:bCs/>
        <w:sz w:val="24"/>
        <w:szCs w:val="24"/>
        <w:highlight w:val="yellow"/>
      </w:rPr>
      <w:t>February 27th - 28th</w:t>
    </w:r>
    <w:r>
      <w:rPr>
        <w:b/>
        <w:bCs/>
        <w:sz w:val="24"/>
        <w:szCs w:val="24"/>
      </w:rPr>
      <w:t>, 2025 Kennesaw, GA</w:t>
    </w:r>
  </w:p>
  <w:p w14:paraId="5E83405E" w14:textId="77777777" w:rsidR="0012503D" w:rsidRDefault="00000000">
    <w:pPr>
      <w:jc w:val="center"/>
      <w:rPr>
        <w:b/>
        <w:bCs/>
        <w:sz w:val="24"/>
        <w:szCs w:val="24"/>
      </w:rPr>
    </w:pPr>
    <w:r>
      <w:rPr>
        <w:b/>
        <w:bCs/>
        <w:sz w:val="24"/>
        <w:szCs w:val="24"/>
      </w:rPr>
      <w:t xml:space="preserve">Email: </w:t>
    </w:r>
    <w:hyperlink r:id="rId2">
      <w:r>
        <w:rPr>
          <w:b/>
          <w:bCs/>
          <w:color w:val="1155CC"/>
          <w:sz w:val="24"/>
          <w:szCs w:val="24"/>
          <w:u w:val="single"/>
        </w:rPr>
        <w:t>ksuhsmun2526@gmail.com</w:t>
      </w:r>
    </w:hyperlink>
  </w:p>
  <w:p w14:paraId="6C494843" w14:textId="77777777" w:rsidR="0012503D" w:rsidRDefault="0012503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C75109"/>
    <w:multiLevelType w:val="multilevel"/>
    <w:tmpl w:val="17A0C22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90C7512"/>
    <w:multiLevelType w:val="multilevel"/>
    <w:tmpl w:val="0E9E4084"/>
    <w:lvl w:ilvl="0">
      <w:start w:val="1"/>
      <w:numFmt w:val="upperRoman"/>
      <w:lvlText w:val="%1."/>
      <w:lvlJc w:val="right"/>
      <w:pPr>
        <w:ind w:left="720" w:hanging="360"/>
      </w:pPr>
      <w:rPr>
        <w:sz w:val="24"/>
        <w:szCs w:val="24"/>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31911689">
    <w:abstractNumId w:val="0"/>
  </w:num>
  <w:num w:numId="2" w16cid:durableId="7143093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03D"/>
    <w:rsid w:val="0012503D"/>
    <w:rsid w:val="007963AD"/>
    <w:rsid w:val="00986D52"/>
    <w:rsid w:val="00E66CE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29EFEBAD"/>
  <w15:docId w15:val="{F723AFAF-F3D0-B04E-9279-44AB97AEC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18"/>
        <w:szCs w:val="18"/>
        <w:lang w:val="en"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3" Type="http://schemas.openxmlformats.org/officeDocument/2006/relationships/hyperlink" Target="https://www.rockandart.org/climate%E2%80%91justice%E2%80%91in%E2%80%91britain%E2%80%91racism%E2%80%91marginalised/" TargetMode="External"/><Relationship Id="rId18" Type="http://schemas.openxmlformats.org/officeDocument/2006/relationships/hyperlink" Target="https://www.publichealth.columbia.edu/news/scientists-community-leaders-seek-clear-air-south-bronx" TargetMode="External"/><Relationship Id="rId26" Type="http://schemas.openxmlformats.org/officeDocument/2006/relationships/hyperlink" Target="https://earthjustice.org/our-work/environmental-justice" TargetMode="External"/><Relationship Id="rId21" Type="http://schemas.openxmlformats.org/officeDocument/2006/relationships/hyperlink" Target="https://ceh.unicef.org/events-and-resources/stories/how-air-pollution-stealing-bangladeshs-future?utm_source=chatgpt.com" TargetMode="External"/><Relationship Id="rId34" Type="http://schemas.openxmlformats.org/officeDocument/2006/relationships/hyperlink" Target="https://www.unep.org/technical-highlight/new-accessible-mapping-tool-helps-identify-hotspots-climate-conflict-stresses" TargetMode="External"/><Relationship Id="rId7" Type="http://schemas.openxmlformats.org/officeDocument/2006/relationships/hyperlink" Target="https://www.eesi.org/papers/view/fact-sheet-climate-environmental-and-health-impacts-of-fossil-fuels-202" TargetMode="External"/><Relationship Id="rId12" Type="http://schemas.openxmlformats.org/officeDocument/2006/relationships/hyperlink" Target="about:blank" TargetMode="External"/><Relationship Id="rId17" Type="http://schemas.openxmlformats.org/officeDocument/2006/relationships/hyperlink" Target="https://www.publichealth.columbia.edu/news/scientists-community-leaders-seek-clear-air-south-bronx?utm_source=chatgpt.com" TargetMode="External"/><Relationship Id="rId25" Type="http://schemas.openxmlformats.org/officeDocument/2006/relationships/hyperlink" Target="https://earthjustice.org/about" TargetMode="External"/><Relationship Id="rId33" Type="http://schemas.openxmlformats.org/officeDocument/2006/relationships/hyperlink" Target="https://www.unep.org/geo/" TargetMode="External"/><Relationship Id="rId38" Type="http://schemas.openxmlformats.org/officeDocument/2006/relationships/hyperlink" Target="https://www.hecweb.org/2025/06/28/measuring-the-environmental-cost-of-artificial-intelligence-and-their-data-centers/" TargetMode="External"/><Relationship Id="rId2" Type="http://schemas.openxmlformats.org/officeDocument/2006/relationships/hyperlink" Target="https://www.nrdc.org/stories/what-environmental-racism" TargetMode="External"/><Relationship Id="rId16" Type="http://schemas.openxmlformats.org/officeDocument/2006/relationships/hyperlink" Target="https://publichealth.jhu.edu/2025/the-shocking-hazards-of-louisianas-cancer-alley" TargetMode="External"/><Relationship Id="rId20" Type="http://schemas.openxmlformats.org/officeDocument/2006/relationships/hyperlink" Target="https://www.npr.org/sections/goats%E2%80%91and%E2%80%91soda/2024/10/05/g%E2%80%91s1%E2%80%916411/electronics%E2%80%91public%E2%80%91health%E2%80%91waste%E2%80%91ghana%E2%80%91phones%E2%80%91computers" TargetMode="External"/><Relationship Id="rId29" Type="http://schemas.openxmlformats.org/officeDocument/2006/relationships/hyperlink" Target="https://rightsindevelopment.org/member/center-for-environmental-justice-cej/" TargetMode="External"/><Relationship Id="rId1" Type="http://schemas.openxmlformats.org/officeDocument/2006/relationships/hyperlink" Target="https://oxford-review.com/the-oxford-review-dei-diversity-equity-and-inclusion-dictionary/historically-marginalised-groups-definition-and-explanation/" TargetMode="External"/><Relationship Id="rId6" Type="http://schemas.openxmlformats.org/officeDocument/2006/relationships/hyperlink" Target="https://www.history.com/articles/industrial-revolution" TargetMode="External"/><Relationship Id="rId11" Type="http://schemas.openxmlformats.org/officeDocument/2006/relationships/hyperlink" Target="https://temis.documentation.developpement-durable.gouv.fr/docs/Temis/0076/Temis-0076096/76096.pdf" TargetMode="External"/><Relationship Id="rId24" Type="http://schemas.openxmlformats.org/officeDocument/2006/relationships/hyperlink" Target="https://www.edf.org/about/equity-and-environmental-justice-edf" TargetMode="External"/><Relationship Id="rId32" Type="http://schemas.openxmlformats.org/officeDocument/2006/relationships/hyperlink" Target="https://enb.iisd.org/minamata%E2%80%91convention%E2%80%91mercury%E2%80%91cop5%E2%80%91summary" TargetMode="External"/><Relationship Id="rId37" Type="http://schemas.openxmlformats.org/officeDocument/2006/relationships/hyperlink" Target="https://www.unep.org/news-and-stories/story/ai-has-environmental-problem-heres-what-world-can-do-about" TargetMode="External"/><Relationship Id="rId5" Type="http://schemas.openxmlformats.org/officeDocument/2006/relationships/hyperlink" Target="https://www.nrdc.org/stories/environmental-justice-movement" TargetMode="External"/><Relationship Id="rId15" Type="http://schemas.openxmlformats.org/officeDocument/2006/relationships/hyperlink" Target="https://publichealth.jhu.edu/2025/the-shocking-hazards-of-louisianas-cancer-alley?utm_source=chatgpt.com" TargetMode="External"/><Relationship Id="rId23" Type="http://schemas.openxmlformats.org/officeDocument/2006/relationships/hyperlink" Target="https://www.edf.org/about/equity-and-environmental-justice-edf?utm_source=chatgpt.com" TargetMode="External"/><Relationship Id="rId28" Type="http://schemas.openxmlformats.org/officeDocument/2006/relationships/hyperlink" Target="https://cer.org.za/" TargetMode="External"/><Relationship Id="rId36" Type="http://schemas.openxmlformats.org/officeDocument/2006/relationships/hyperlink" Target="https://www.ohchr.org/en/special%E2%80%91procedures/sr%E2%80%91environment" TargetMode="External"/><Relationship Id="rId10" Type="http://schemas.openxmlformats.org/officeDocument/2006/relationships/hyperlink" Target="https://19january2021snapshot.epa.gov/environmentaljustice/environmental%E2%80%91justice%E2%80%91timeline_.htm" TargetMode="External"/><Relationship Id="rId19" Type="http://schemas.openxmlformats.org/officeDocument/2006/relationships/hyperlink" Target="https://blog.ucs.org/chanese-forte/us-uranium-mining-legacy-still-harms-the-navajo-nation/" TargetMode="External"/><Relationship Id="rId31" Type="http://schemas.openxmlformats.org/officeDocument/2006/relationships/hyperlink" Target="https://minamataconvention.org/sites/default/files/documents/information_document/Minamata%E2%80%91Convention%E2%80%91booklet%E2%80%91Sep2019%E2%80%91EN.pdf" TargetMode="External"/><Relationship Id="rId4" Type="http://schemas.openxmlformats.org/officeDocument/2006/relationships/hyperlink" Target="https://www.selc.org/our-focus/environmental-justice/" TargetMode="External"/><Relationship Id="rId9" Type="http://schemas.openxmlformats.org/officeDocument/2006/relationships/hyperlink" Target="https://19january2021snapshot.epa.gov/environmentaljustice/environmental%E2%80%91justice%E2%80%91timeline_.html" TargetMode="External"/><Relationship Id="rId14" Type="http://schemas.openxmlformats.org/officeDocument/2006/relationships/hyperlink" Target="about:blank" TargetMode="External"/><Relationship Id="rId22" Type="http://schemas.openxmlformats.org/officeDocument/2006/relationships/hyperlink" Target="https://blogs.worldbank.org/en/endpovertyinsouthasia/clearing-the-air--addressing-bangladesh-s-air-pollution-crisis" TargetMode="External"/><Relationship Id="rId27" Type="http://schemas.openxmlformats.org/officeDocument/2006/relationships/hyperlink" Target="https://earthjustice.org/our-work/environmental-justice" TargetMode="External"/><Relationship Id="rId30" Type="http://schemas.openxmlformats.org/officeDocument/2006/relationships/hyperlink" Target="https://enb.iisd.org/articles/Stockholm%E2%80%91convention" TargetMode="External"/><Relationship Id="rId35" Type="http://schemas.openxmlformats.org/officeDocument/2006/relationships/hyperlink" Target="https://www.ohchr.org/en/statements%E2%80%91and%E2%80%91speeches/2022/04/right%E2%80%91healthy%E2%80%91environment" TargetMode="External"/><Relationship Id="rId8" Type="http://schemas.openxmlformats.org/officeDocument/2006/relationships/hyperlink" Target="https://pmc.ncbi.nlm.nih.gov/articles/PMC10867848/" TargetMode="External"/><Relationship Id="rId3" Type="http://schemas.openxmlformats.org/officeDocument/2006/relationships/hyperlink" Target="https://www.ebsco.com/research-starters/politics-and-government/cycle-pover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hyperlink" Target="mailto:ksuhsmun2024@gmail.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lYredLqlz5Ou4EDtLZhgKaKqzQ==">CgMxLjA4AGoiChRzdWdnZXN0LmFmanBwYnJhaTI5ehIKUm9oYW4gSmFpbnIhMWJTNkpSb1JoR0ZUY0dwWko2Y0NDSkI0ZW9GTWVsR3lM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4335</Words>
  <Characters>26186</Characters>
  <Application>Microsoft Office Word</Application>
  <DocSecurity>0</DocSecurity>
  <Lines>358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Megan Hauser</cp:lastModifiedBy>
  <cp:revision>2</cp:revision>
  <dcterms:created xsi:type="dcterms:W3CDTF">2026-01-15T13:13:00Z</dcterms:created>
  <dcterms:modified xsi:type="dcterms:W3CDTF">2026-01-15T13:15:00Z</dcterms:modified>
</cp:coreProperties>
</file>