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09E5" w14:textId="77777777" w:rsidR="00DF5130" w:rsidRDefault="00953ED2">
      <w:pPr>
        <w:pStyle w:val="BodyText"/>
        <w:ind w:left="26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3C0A17" wp14:editId="5D3C0A18">
            <wp:extent cx="2605676" cy="6705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67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CB3BC" w14:textId="77777777" w:rsidR="00E20898" w:rsidRDefault="00E20898">
      <w:pPr>
        <w:pStyle w:val="BodyText"/>
        <w:ind w:left="2657"/>
        <w:rPr>
          <w:rFonts w:ascii="Times New Roman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7105"/>
      </w:tblGrid>
      <w:tr w:rsidR="007719AB" w14:paraId="102FEA81" w14:textId="77777777" w:rsidTr="005C6EBA">
        <w:trPr>
          <w:jc w:val="center"/>
        </w:trPr>
        <w:tc>
          <w:tcPr>
            <w:tcW w:w="2245" w:type="dxa"/>
          </w:tcPr>
          <w:p w14:paraId="31E95B53" w14:textId="77777777" w:rsidR="007719AB" w:rsidRPr="005C6EBA" w:rsidRDefault="007719AB" w:rsidP="005C6EB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6EBA">
              <w:rPr>
                <w:sz w:val="20"/>
                <w:szCs w:val="20"/>
              </w:rPr>
              <w:t>Title</w:t>
            </w:r>
          </w:p>
        </w:tc>
        <w:tc>
          <w:tcPr>
            <w:tcW w:w="7105" w:type="dxa"/>
          </w:tcPr>
          <w:p w14:paraId="60614F66" w14:textId="2E10DAAF" w:rsidR="009002C0" w:rsidRPr="005C6EBA" w:rsidRDefault="009002C0" w:rsidP="005C6EB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Co-Sponsored Event Guidelines</w:t>
            </w:r>
          </w:p>
        </w:tc>
      </w:tr>
      <w:tr w:rsidR="007719AB" w14:paraId="18F078D6" w14:textId="77777777" w:rsidTr="005C6EBA">
        <w:trPr>
          <w:jc w:val="center"/>
        </w:trPr>
        <w:tc>
          <w:tcPr>
            <w:tcW w:w="2245" w:type="dxa"/>
          </w:tcPr>
          <w:p w14:paraId="1944004D" w14:textId="77777777" w:rsidR="007719AB" w:rsidRPr="005C6EBA" w:rsidRDefault="007719AB" w:rsidP="005C6EB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6EBA">
              <w:rPr>
                <w:sz w:val="20"/>
                <w:szCs w:val="20"/>
              </w:rPr>
              <w:t>Responsible Office</w:t>
            </w:r>
          </w:p>
        </w:tc>
        <w:tc>
          <w:tcPr>
            <w:tcW w:w="7105" w:type="dxa"/>
          </w:tcPr>
          <w:p w14:paraId="60CC4E9B" w14:textId="77777777" w:rsidR="007719AB" w:rsidRPr="005C6EBA" w:rsidRDefault="007719AB" w:rsidP="005C6EB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6EBA">
              <w:rPr>
                <w:sz w:val="20"/>
                <w:szCs w:val="20"/>
              </w:rPr>
              <w:t>Department of Event and Venue Management</w:t>
            </w:r>
          </w:p>
        </w:tc>
      </w:tr>
      <w:tr w:rsidR="007719AB" w14:paraId="1B30441A" w14:textId="77777777" w:rsidTr="005C6EBA">
        <w:trPr>
          <w:jc w:val="center"/>
        </w:trPr>
        <w:tc>
          <w:tcPr>
            <w:tcW w:w="2245" w:type="dxa"/>
          </w:tcPr>
          <w:p w14:paraId="5C586C21" w14:textId="77777777" w:rsidR="007719AB" w:rsidRPr="005C6EBA" w:rsidRDefault="007719AB" w:rsidP="005C6EBA">
            <w:pPr>
              <w:rPr>
                <w:sz w:val="20"/>
                <w:szCs w:val="20"/>
              </w:rPr>
            </w:pPr>
            <w:r w:rsidRPr="005C6EBA">
              <w:rPr>
                <w:sz w:val="20"/>
                <w:szCs w:val="20"/>
              </w:rPr>
              <w:t>Contact Information</w:t>
            </w:r>
          </w:p>
        </w:tc>
        <w:tc>
          <w:tcPr>
            <w:tcW w:w="7105" w:type="dxa"/>
          </w:tcPr>
          <w:p w14:paraId="47390548" w14:textId="77777777" w:rsidR="007719AB" w:rsidRPr="005C6EBA" w:rsidRDefault="007719AB" w:rsidP="005C6EBA">
            <w:pPr>
              <w:rPr>
                <w:sz w:val="20"/>
                <w:szCs w:val="20"/>
              </w:rPr>
            </w:pPr>
            <w:r w:rsidRPr="005C6EBA">
              <w:rPr>
                <w:sz w:val="20"/>
                <w:szCs w:val="20"/>
              </w:rPr>
              <w:t xml:space="preserve">Executive Director of Event and Venue Management </w:t>
            </w:r>
          </w:p>
          <w:p w14:paraId="718C6615" w14:textId="77777777" w:rsidR="007719AB" w:rsidRPr="005C6EBA" w:rsidRDefault="007719AB" w:rsidP="005C6EBA">
            <w:pPr>
              <w:rPr>
                <w:sz w:val="20"/>
                <w:szCs w:val="20"/>
              </w:rPr>
            </w:pPr>
            <w:r w:rsidRPr="005C6EBA">
              <w:rPr>
                <w:sz w:val="20"/>
                <w:szCs w:val="20"/>
              </w:rPr>
              <w:t>Phone:470-578-6252</w:t>
            </w:r>
          </w:p>
          <w:p w14:paraId="3C015BEC" w14:textId="75E46F4C" w:rsidR="007719AB" w:rsidRPr="005C6EBA" w:rsidRDefault="007719AB" w:rsidP="005C6EBA">
            <w:pPr>
              <w:rPr>
                <w:sz w:val="20"/>
                <w:szCs w:val="20"/>
              </w:rPr>
            </w:pPr>
            <w:r w:rsidRPr="005C6EBA">
              <w:rPr>
                <w:sz w:val="20"/>
                <w:szCs w:val="20"/>
              </w:rPr>
              <w:t xml:space="preserve">Email: </w:t>
            </w:r>
            <w:hyperlink r:id="rId8" w:history="1">
              <w:r w:rsidRPr="005C6EBA">
                <w:rPr>
                  <w:rStyle w:val="Hyperlink"/>
                  <w:sz w:val="20"/>
                  <w:szCs w:val="20"/>
                </w:rPr>
                <w:t>jskopitz@kennesaw.edu</w:t>
              </w:r>
            </w:hyperlink>
          </w:p>
        </w:tc>
      </w:tr>
    </w:tbl>
    <w:p w14:paraId="5D3C09F0" w14:textId="77777777" w:rsidR="00DF5130" w:rsidRDefault="00DF5130">
      <w:pPr>
        <w:pStyle w:val="BodyText"/>
        <w:spacing w:before="206"/>
      </w:pPr>
    </w:p>
    <w:p w14:paraId="5D3C09F1" w14:textId="77777777" w:rsidR="00DF5130" w:rsidRDefault="00953ED2">
      <w:pPr>
        <w:pStyle w:val="Heading1"/>
        <w:numPr>
          <w:ilvl w:val="0"/>
          <w:numId w:val="1"/>
        </w:numPr>
        <w:tabs>
          <w:tab w:val="left" w:pos="847"/>
        </w:tabs>
        <w:ind w:left="847" w:hanging="360"/>
        <w:rPr>
          <w:color w:val="030303"/>
        </w:rPr>
      </w:pPr>
      <w:r>
        <w:rPr>
          <w:color w:val="030303"/>
          <w:spacing w:val="-2"/>
        </w:rPr>
        <w:t>Purpose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-2"/>
        </w:rPr>
        <w:t>Statement</w:t>
      </w:r>
    </w:p>
    <w:p w14:paraId="5D3C09F2" w14:textId="77777777" w:rsidR="00DF5130" w:rsidRDefault="00DF5130">
      <w:pPr>
        <w:pStyle w:val="BodyText"/>
        <w:spacing w:before="15"/>
        <w:rPr>
          <w:b/>
        </w:rPr>
      </w:pPr>
    </w:p>
    <w:p w14:paraId="5D3C09F3" w14:textId="77777777" w:rsidR="00DF5130" w:rsidRDefault="00953ED2">
      <w:pPr>
        <w:pStyle w:val="BodyText"/>
        <w:spacing w:line="312" w:lineRule="auto"/>
        <w:ind w:left="847" w:right="180" w:hanging="4"/>
      </w:pPr>
      <w:r>
        <w:rPr>
          <w:color w:val="030303"/>
          <w:w w:val="105"/>
        </w:rPr>
        <w:t>The purpose of this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document is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establish a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uniform guideline by which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Kennesaw State University hosts co-sponsored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events with external or non-affiliated entities.</w:t>
      </w:r>
    </w:p>
    <w:p w14:paraId="5D3C09F4" w14:textId="75AA5F37" w:rsidR="00DF5130" w:rsidRDefault="00953ED2">
      <w:pPr>
        <w:pStyle w:val="BodyText"/>
        <w:spacing w:before="172" w:line="321" w:lineRule="auto"/>
        <w:ind w:left="850" w:right="1477" w:hanging="2"/>
      </w:pPr>
      <w:r>
        <w:rPr>
          <w:color w:val="030303"/>
          <w:w w:val="105"/>
        </w:rPr>
        <w:t xml:space="preserve">As stated in the Kennesaw State University </w:t>
      </w:r>
      <w:hyperlink r:id="rId9" w:history="1">
        <w:r w:rsidRPr="00614BC2">
          <w:rPr>
            <w:rStyle w:val="Hyperlink"/>
            <w:w w:val="105"/>
          </w:rPr>
          <w:t>Space Prioritization</w:t>
        </w:r>
        <w:r w:rsidRPr="00614BC2">
          <w:rPr>
            <w:rStyle w:val="Hyperlink"/>
            <w:spacing w:val="-1"/>
            <w:w w:val="105"/>
          </w:rPr>
          <w:t xml:space="preserve"> </w:t>
        </w:r>
        <w:r w:rsidRPr="00614BC2">
          <w:rPr>
            <w:rStyle w:val="Hyperlink"/>
            <w:w w:val="105"/>
          </w:rPr>
          <w:t>Procedure</w:t>
        </w:r>
      </w:hyperlink>
      <w:r>
        <w:rPr>
          <w:color w:val="030303"/>
          <w:w w:val="105"/>
        </w:rPr>
        <w:t xml:space="preserve">, </w:t>
      </w:r>
    </w:p>
    <w:p w14:paraId="5D3C09F5" w14:textId="77777777" w:rsidR="00DF5130" w:rsidRDefault="00953ED2">
      <w:pPr>
        <w:spacing w:before="150" w:line="319" w:lineRule="auto"/>
        <w:ind w:left="842" w:right="170" w:firstLine="4"/>
        <w:rPr>
          <w:i/>
          <w:sz w:val="19"/>
        </w:rPr>
      </w:pPr>
      <w:r>
        <w:rPr>
          <w:i/>
          <w:color w:val="030303"/>
          <w:w w:val="105"/>
          <w:sz w:val="19"/>
        </w:rPr>
        <w:t>"Kennesaw State</w:t>
      </w:r>
      <w:r>
        <w:rPr>
          <w:i/>
          <w:color w:val="030303"/>
          <w:spacing w:val="-9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University campus space is considered a total resource under the</w:t>
      </w:r>
      <w:r>
        <w:rPr>
          <w:i/>
          <w:color w:val="030303"/>
          <w:spacing w:val="-8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control and management of the</w:t>
      </w:r>
      <w:r>
        <w:rPr>
          <w:i/>
          <w:color w:val="030303"/>
          <w:spacing w:val="-11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President's Cabinet. No</w:t>
      </w:r>
      <w:r>
        <w:rPr>
          <w:i/>
          <w:color w:val="030303"/>
          <w:spacing w:val="-7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individual</w:t>
      </w:r>
      <w:r>
        <w:rPr>
          <w:i/>
          <w:color w:val="030303"/>
          <w:spacing w:val="-1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spaces or areas</w:t>
      </w:r>
      <w:r>
        <w:rPr>
          <w:i/>
          <w:color w:val="030303"/>
          <w:spacing w:val="-2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are</w:t>
      </w:r>
      <w:r>
        <w:rPr>
          <w:i/>
          <w:color w:val="030303"/>
          <w:spacing w:val="-8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regarded as the</w:t>
      </w:r>
      <w:r>
        <w:rPr>
          <w:i/>
          <w:color w:val="030303"/>
          <w:spacing w:val="-9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"real property" of any department, college or division of the</w:t>
      </w:r>
      <w:r>
        <w:rPr>
          <w:i/>
          <w:color w:val="030303"/>
          <w:spacing w:val="-3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University. Space is allocated taking into consideration several</w:t>
      </w:r>
      <w:r>
        <w:rPr>
          <w:i/>
          <w:color w:val="030303"/>
          <w:spacing w:val="-17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factors including campus priorities, best use, potential</w:t>
      </w:r>
      <w:r>
        <w:rPr>
          <w:i/>
          <w:color w:val="030303"/>
          <w:spacing w:val="-5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for</w:t>
      </w:r>
      <w:r>
        <w:rPr>
          <w:i/>
          <w:color w:val="030303"/>
          <w:spacing w:val="40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academic classroom disruption, and obligations related to</w:t>
      </w:r>
      <w:r>
        <w:rPr>
          <w:i/>
          <w:color w:val="030303"/>
          <w:spacing w:val="-5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funding or other covenants and the campus mission. These</w:t>
      </w:r>
      <w:r>
        <w:rPr>
          <w:i/>
          <w:color w:val="030303"/>
          <w:spacing w:val="-20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factors will be</w:t>
      </w:r>
      <w:r>
        <w:rPr>
          <w:i/>
          <w:color w:val="030303"/>
          <w:spacing w:val="-33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fully considered in decisions about all</w:t>
      </w:r>
      <w:r>
        <w:rPr>
          <w:i/>
          <w:color w:val="030303"/>
          <w:spacing w:val="-1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space a/locations, use and changes in assignments."</w:t>
      </w:r>
    </w:p>
    <w:p w14:paraId="5D3C09F6" w14:textId="77777777" w:rsidR="00DF5130" w:rsidRDefault="00953ED2">
      <w:pPr>
        <w:pStyle w:val="Heading1"/>
        <w:numPr>
          <w:ilvl w:val="0"/>
          <w:numId w:val="1"/>
        </w:numPr>
        <w:tabs>
          <w:tab w:val="left" w:pos="846"/>
        </w:tabs>
        <w:spacing w:before="167"/>
        <w:ind w:left="846" w:hanging="359"/>
        <w:rPr>
          <w:color w:val="030303"/>
        </w:rPr>
      </w:pPr>
      <w:r>
        <w:rPr>
          <w:color w:val="030303"/>
          <w:spacing w:val="-2"/>
        </w:rPr>
        <w:t>Definitions</w:t>
      </w:r>
    </w:p>
    <w:p w14:paraId="5D3C09F7" w14:textId="77777777" w:rsidR="00DF5130" w:rsidRDefault="00953ED2">
      <w:pPr>
        <w:pStyle w:val="BodyText"/>
        <w:spacing w:before="70" w:line="321" w:lineRule="auto"/>
        <w:ind w:left="850" w:right="180" w:hanging="7"/>
      </w:pPr>
      <w:r>
        <w:rPr>
          <w:color w:val="030303"/>
          <w:w w:val="105"/>
        </w:rPr>
        <w:t>The term "Affiliated Entity" means university departments, units, and divisions as well as registered student organizations, and cooperative agencies.</w:t>
      </w:r>
    </w:p>
    <w:p w14:paraId="5D3C09F8" w14:textId="77777777" w:rsidR="00DF5130" w:rsidRDefault="00DF5130">
      <w:pPr>
        <w:pStyle w:val="BodyText"/>
        <w:spacing w:before="65"/>
      </w:pPr>
    </w:p>
    <w:p w14:paraId="5D3C09F9" w14:textId="77777777" w:rsidR="00DF5130" w:rsidRDefault="00953ED2">
      <w:pPr>
        <w:pStyle w:val="BodyText"/>
        <w:spacing w:line="319" w:lineRule="auto"/>
        <w:ind w:left="845" w:right="180" w:hanging="2"/>
      </w:pPr>
      <w:r>
        <w:rPr>
          <w:color w:val="030303"/>
          <w:w w:val="110"/>
        </w:rPr>
        <w:t>The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term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"Co-sponsored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Event"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means: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An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event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which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is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organized,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presented,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or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funded,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in whole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or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in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part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w w:val="110"/>
        </w:rPr>
        <w:t>by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university</w:t>
      </w:r>
      <w:r>
        <w:rPr>
          <w:color w:val="030303"/>
          <w:spacing w:val="-3"/>
          <w:w w:val="110"/>
        </w:rPr>
        <w:t xml:space="preserve"> </w:t>
      </w:r>
      <w:r>
        <w:rPr>
          <w:color w:val="030303"/>
          <w:w w:val="110"/>
        </w:rPr>
        <w:t>department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or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college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in</w:t>
      </w:r>
      <w:r>
        <w:rPr>
          <w:color w:val="030303"/>
          <w:spacing w:val="-9"/>
          <w:w w:val="110"/>
        </w:rPr>
        <w:t xml:space="preserve"> </w:t>
      </w:r>
      <w:r>
        <w:rPr>
          <w:color w:val="030303"/>
          <w:w w:val="110"/>
        </w:rPr>
        <w:t>collaboration</w:t>
      </w:r>
      <w:r>
        <w:rPr>
          <w:color w:val="030303"/>
          <w:spacing w:val="7"/>
          <w:w w:val="110"/>
        </w:rPr>
        <w:t xml:space="preserve"> </w:t>
      </w:r>
      <w:r>
        <w:rPr>
          <w:color w:val="030303"/>
          <w:w w:val="110"/>
        </w:rPr>
        <w:t>with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an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external,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or</w:t>
      </w:r>
      <w:r>
        <w:rPr>
          <w:color w:val="030303"/>
          <w:spacing w:val="-6"/>
          <w:w w:val="110"/>
        </w:rPr>
        <w:t xml:space="preserve"> </w:t>
      </w:r>
      <w:proofErr w:type="spellStart"/>
      <w:r>
        <w:rPr>
          <w:color w:val="030303"/>
          <w:w w:val="110"/>
        </w:rPr>
        <w:t>non</w:t>
      </w:r>
      <w:proofErr w:type="spellEnd"/>
      <w:r>
        <w:rPr>
          <w:color w:val="030303"/>
          <w:w w:val="110"/>
        </w:rPr>
        <w:t>­ affiliated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entity,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including, but not</w:t>
      </w:r>
      <w:r>
        <w:rPr>
          <w:color w:val="030303"/>
          <w:spacing w:val="20"/>
          <w:w w:val="110"/>
        </w:rPr>
        <w:t xml:space="preserve"> </w:t>
      </w:r>
      <w:r>
        <w:rPr>
          <w:color w:val="030303"/>
          <w:w w:val="110"/>
        </w:rPr>
        <w:t>limited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to, events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where the external or non-affiliated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entity is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primarily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responsible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for</w:t>
      </w:r>
      <w:r>
        <w:rPr>
          <w:color w:val="030303"/>
          <w:spacing w:val="4"/>
          <w:w w:val="110"/>
        </w:rPr>
        <w:t xml:space="preserve"> </w:t>
      </w:r>
      <w:r>
        <w:rPr>
          <w:color w:val="030303"/>
          <w:w w:val="110"/>
        </w:rPr>
        <w:t>planning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and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the</w:t>
      </w:r>
      <w:r>
        <w:rPr>
          <w:color w:val="030303"/>
          <w:spacing w:val="4"/>
          <w:w w:val="110"/>
        </w:rPr>
        <w:t xml:space="preserve"> </w:t>
      </w:r>
      <w:r>
        <w:rPr>
          <w:color w:val="030303"/>
          <w:w w:val="110"/>
        </w:rPr>
        <w:t>university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co-sponsor</w:t>
      </w:r>
      <w:r>
        <w:rPr>
          <w:color w:val="030303"/>
          <w:spacing w:val="-5"/>
          <w:w w:val="110"/>
        </w:rPr>
        <w:t xml:space="preserve"> </w:t>
      </w:r>
      <w:r>
        <w:rPr>
          <w:color w:val="030303"/>
          <w:w w:val="110"/>
        </w:rPr>
        <w:t>is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only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providing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space.</w:t>
      </w:r>
    </w:p>
    <w:p w14:paraId="5D3C09FA" w14:textId="77777777" w:rsidR="00DF5130" w:rsidRDefault="00DF5130">
      <w:pPr>
        <w:pStyle w:val="BodyText"/>
        <w:spacing w:before="76"/>
      </w:pPr>
    </w:p>
    <w:p w14:paraId="5D3C09FB" w14:textId="77777777" w:rsidR="00DF5130" w:rsidRDefault="00953ED2">
      <w:pPr>
        <w:pStyle w:val="BodyText"/>
        <w:spacing w:line="321" w:lineRule="auto"/>
        <w:ind w:left="846" w:right="180" w:firstLine="2"/>
      </w:pPr>
      <w:r>
        <w:rPr>
          <w:color w:val="030303"/>
          <w:w w:val="105"/>
        </w:rPr>
        <w:t>"Facilities" includes all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buildings, structures, grounds,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sidewalks,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areas,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streets,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spaces that are owned or leased by Kennesaw State University.</w:t>
      </w:r>
    </w:p>
    <w:p w14:paraId="5D3C09FC" w14:textId="77777777" w:rsidR="00DF5130" w:rsidRDefault="00DF5130">
      <w:pPr>
        <w:pStyle w:val="BodyText"/>
        <w:spacing w:before="65"/>
      </w:pPr>
    </w:p>
    <w:p w14:paraId="5D3C09FD" w14:textId="77777777" w:rsidR="00DF5130" w:rsidRDefault="00953ED2">
      <w:pPr>
        <w:pStyle w:val="BodyText"/>
        <w:spacing w:before="1" w:line="321" w:lineRule="auto"/>
        <w:ind w:left="848" w:right="180"/>
      </w:pPr>
      <w:r>
        <w:rPr>
          <w:color w:val="161616"/>
          <w:w w:val="110"/>
        </w:rPr>
        <w:t>"Fronting"</w:t>
      </w:r>
      <w:r>
        <w:rPr>
          <w:color w:val="161616"/>
          <w:spacing w:val="-14"/>
          <w:w w:val="110"/>
        </w:rPr>
        <w:t xml:space="preserve"> </w:t>
      </w:r>
      <w:r>
        <w:rPr>
          <w:color w:val="030303"/>
          <w:w w:val="110"/>
        </w:rPr>
        <w:t>refers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to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w w:val="110"/>
        </w:rPr>
        <w:t>the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act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of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allowing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Non-Affiliated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Entity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to register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under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the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guise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of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an Affiliated Entity.</w:t>
      </w:r>
    </w:p>
    <w:p w14:paraId="5D3C09FE" w14:textId="77777777" w:rsidR="00DF5130" w:rsidRDefault="00DF5130">
      <w:pPr>
        <w:pStyle w:val="BodyText"/>
        <w:spacing w:before="70"/>
      </w:pPr>
    </w:p>
    <w:p w14:paraId="5D3C09FF" w14:textId="77777777" w:rsidR="00DF5130" w:rsidRDefault="00953ED2">
      <w:pPr>
        <w:pStyle w:val="BodyText"/>
        <w:spacing w:line="319" w:lineRule="auto"/>
        <w:ind w:left="845" w:right="170" w:firstLine="3"/>
      </w:pPr>
      <w:r>
        <w:rPr>
          <w:color w:val="030303"/>
          <w:w w:val="110"/>
        </w:rPr>
        <w:t>"Non-Affiliated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Entity"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includes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groups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that</w:t>
      </w:r>
      <w:r>
        <w:rPr>
          <w:color w:val="030303"/>
          <w:spacing w:val="-6"/>
          <w:w w:val="110"/>
        </w:rPr>
        <w:t xml:space="preserve"> </w:t>
      </w:r>
      <w:r>
        <w:rPr>
          <w:color w:val="030303"/>
          <w:w w:val="110"/>
        </w:rPr>
        <w:t>are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not</w:t>
      </w:r>
      <w:r>
        <w:rPr>
          <w:color w:val="030303"/>
          <w:spacing w:val="11"/>
          <w:w w:val="110"/>
        </w:rPr>
        <w:t xml:space="preserve"> </w:t>
      </w:r>
      <w:r>
        <w:rPr>
          <w:color w:val="030303"/>
          <w:w w:val="110"/>
        </w:rPr>
        <w:t>affiliated with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the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University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and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do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not qualify</w:t>
      </w:r>
      <w:r>
        <w:rPr>
          <w:color w:val="030303"/>
          <w:spacing w:val="-5"/>
          <w:w w:val="110"/>
        </w:rPr>
        <w:t xml:space="preserve"> </w:t>
      </w:r>
      <w:r>
        <w:rPr>
          <w:color w:val="030303"/>
          <w:w w:val="110"/>
        </w:rPr>
        <w:t xml:space="preserve">for </w:t>
      </w:r>
      <w:proofErr w:type="gramStart"/>
      <w:r>
        <w:rPr>
          <w:color w:val="030303"/>
          <w:w w:val="110"/>
        </w:rPr>
        <w:t>University</w:t>
      </w:r>
      <w:proofErr w:type="gramEnd"/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sponsorship or hosting,</w:t>
      </w:r>
      <w:r>
        <w:rPr>
          <w:color w:val="030303"/>
          <w:spacing w:val="-5"/>
          <w:w w:val="110"/>
        </w:rPr>
        <w:t xml:space="preserve"> </w:t>
      </w:r>
      <w:r>
        <w:rPr>
          <w:color w:val="030303"/>
          <w:w w:val="110"/>
        </w:rPr>
        <w:t>but who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may</w:t>
      </w:r>
      <w:r>
        <w:rPr>
          <w:color w:val="030303"/>
          <w:spacing w:val="-9"/>
          <w:w w:val="110"/>
        </w:rPr>
        <w:t xml:space="preserve"> </w:t>
      </w:r>
      <w:r>
        <w:rPr>
          <w:color w:val="030303"/>
          <w:w w:val="110"/>
        </w:rPr>
        <w:t>rent</w:t>
      </w:r>
      <w:r>
        <w:rPr>
          <w:color w:val="030303"/>
          <w:spacing w:val="-9"/>
          <w:w w:val="110"/>
        </w:rPr>
        <w:t xml:space="preserve"> </w:t>
      </w:r>
      <w:r>
        <w:rPr>
          <w:color w:val="030303"/>
          <w:w w:val="110"/>
        </w:rPr>
        <w:t>University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facilities in accordance</w:t>
      </w:r>
      <w:r>
        <w:rPr>
          <w:color w:val="030303"/>
          <w:spacing w:val="-13"/>
          <w:w w:val="110"/>
        </w:rPr>
        <w:t xml:space="preserve"> </w:t>
      </w:r>
      <w:r>
        <w:rPr>
          <w:color w:val="030303"/>
          <w:w w:val="110"/>
        </w:rPr>
        <w:t>with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this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procedure.</w:t>
      </w:r>
      <w:r>
        <w:rPr>
          <w:color w:val="030303"/>
          <w:spacing w:val="-5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non-affiliated</w:t>
      </w:r>
      <w:r>
        <w:rPr>
          <w:color w:val="030303"/>
          <w:spacing w:val="-19"/>
          <w:w w:val="110"/>
        </w:rPr>
        <w:t xml:space="preserve"> </w:t>
      </w:r>
      <w:r>
        <w:rPr>
          <w:color w:val="030303"/>
          <w:w w:val="110"/>
        </w:rPr>
        <w:t>entity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may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also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be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referred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to</w:t>
      </w:r>
      <w:r>
        <w:rPr>
          <w:color w:val="030303"/>
          <w:spacing w:val="-4"/>
          <w:w w:val="110"/>
        </w:rPr>
        <w:t xml:space="preserve"> </w:t>
      </w:r>
      <w:r>
        <w:rPr>
          <w:color w:val="030303"/>
          <w:w w:val="110"/>
        </w:rPr>
        <w:t>as</w:t>
      </w:r>
      <w:r>
        <w:rPr>
          <w:color w:val="030303"/>
          <w:spacing w:val="-13"/>
          <w:w w:val="110"/>
        </w:rPr>
        <w:t xml:space="preserve"> </w:t>
      </w:r>
      <w:r>
        <w:rPr>
          <w:color w:val="161616"/>
          <w:w w:val="110"/>
        </w:rPr>
        <w:t xml:space="preserve">"external </w:t>
      </w:r>
      <w:r>
        <w:rPr>
          <w:color w:val="030303"/>
          <w:spacing w:val="-2"/>
          <w:w w:val="110"/>
        </w:rPr>
        <w:t>entity."</w:t>
      </w:r>
    </w:p>
    <w:p w14:paraId="5D3C0A00" w14:textId="77777777" w:rsidR="00DF5130" w:rsidRDefault="00DF5130">
      <w:pPr>
        <w:spacing w:line="319" w:lineRule="auto"/>
        <w:sectPr w:rsidR="00DF5130">
          <w:headerReference w:type="default" r:id="rId10"/>
          <w:type w:val="continuous"/>
          <w:pgSz w:w="12240" w:h="15840"/>
          <w:pgMar w:top="1580" w:right="1320" w:bottom="280" w:left="1320" w:header="731" w:footer="0" w:gutter="0"/>
          <w:cols w:space="720"/>
        </w:sectPr>
      </w:pPr>
    </w:p>
    <w:p w14:paraId="5D3C0A01" w14:textId="77777777" w:rsidR="00DF5130" w:rsidRDefault="00DF5130">
      <w:pPr>
        <w:pStyle w:val="BodyText"/>
        <w:spacing w:before="12"/>
      </w:pPr>
    </w:p>
    <w:p w14:paraId="5D3C0A02" w14:textId="77777777" w:rsidR="00DF5130" w:rsidRDefault="00953ED2">
      <w:pPr>
        <w:pStyle w:val="BodyText"/>
        <w:spacing w:line="321" w:lineRule="auto"/>
        <w:ind w:left="846" w:right="180" w:firstLine="2"/>
      </w:pPr>
      <w:r>
        <w:rPr>
          <w:color w:val="131313"/>
        </w:rPr>
        <w:t>"University</w:t>
      </w:r>
      <w:r>
        <w:rPr>
          <w:color w:val="131313"/>
          <w:spacing w:val="40"/>
        </w:rPr>
        <w:t xml:space="preserve"> </w:t>
      </w:r>
      <w:r>
        <w:rPr>
          <w:color w:val="010101"/>
        </w:rPr>
        <w:t>Co-Sponsor"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University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department,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college,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organization,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 xml:space="preserve">cooperative </w:t>
      </w:r>
      <w:r>
        <w:rPr>
          <w:color w:val="010101"/>
          <w:w w:val="110"/>
        </w:rPr>
        <w:t>agency,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or other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Affiliated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Entity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that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is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collaborating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with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Non-Affiliated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or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External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Entity.</w:t>
      </w:r>
    </w:p>
    <w:p w14:paraId="5D3C0A03" w14:textId="77777777" w:rsidR="00DF5130" w:rsidRDefault="00DF5130">
      <w:pPr>
        <w:pStyle w:val="BodyText"/>
        <w:spacing w:before="75"/>
      </w:pPr>
    </w:p>
    <w:p w14:paraId="5D3C0A04" w14:textId="77777777" w:rsidR="00DF5130" w:rsidRDefault="00953ED2">
      <w:pPr>
        <w:pStyle w:val="Heading1"/>
        <w:numPr>
          <w:ilvl w:val="0"/>
          <w:numId w:val="1"/>
        </w:numPr>
        <w:tabs>
          <w:tab w:val="left" w:pos="842"/>
        </w:tabs>
        <w:ind w:left="842" w:hanging="357"/>
        <w:rPr>
          <w:color w:val="010101"/>
        </w:rPr>
      </w:pPr>
      <w:r>
        <w:rPr>
          <w:color w:val="010101"/>
          <w:spacing w:val="-2"/>
        </w:rPr>
        <w:t>Guidelines</w:t>
      </w:r>
    </w:p>
    <w:p w14:paraId="5D3C0A05" w14:textId="77777777" w:rsidR="00DF5130" w:rsidRDefault="00DF5130" w:rsidP="00132196">
      <w:pPr>
        <w:pStyle w:val="BodyText"/>
        <w:spacing w:line="319" w:lineRule="auto"/>
        <w:ind w:left="845" w:right="170" w:firstLine="3"/>
        <w:rPr>
          <w:b/>
        </w:rPr>
      </w:pPr>
    </w:p>
    <w:p w14:paraId="5C7C6A58" w14:textId="16F3F5B5" w:rsidR="00584826" w:rsidRPr="00132196" w:rsidRDefault="003D2722" w:rsidP="00132196">
      <w:pPr>
        <w:pStyle w:val="BodyText"/>
        <w:spacing w:line="319" w:lineRule="auto"/>
        <w:ind w:left="845" w:right="170"/>
        <w:rPr>
          <w:color w:val="010101"/>
          <w:w w:val="105"/>
        </w:rPr>
      </w:pPr>
      <w:r>
        <w:rPr>
          <w:color w:val="010101"/>
          <w:w w:val="105"/>
        </w:rPr>
        <w:t>Co-Sponsored Events are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considered external events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for purposes of the Space Usage Prioritization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Procedure.</w:t>
      </w:r>
      <w:r>
        <w:rPr>
          <w:rFonts w:ascii="Aptos" w:eastAsia="Times New Roman" w:hAnsi="Aptos" w:cs="Times New Roman"/>
        </w:rPr>
        <w:t xml:space="preserve"> </w:t>
      </w:r>
      <w:r w:rsidR="00584826" w:rsidRPr="00132196">
        <w:rPr>
          <w:color w:val="010101"/>
          <w:w w:val="105"/>
        </w:rPr>
        <w:t xml:space="preserve">A request to </w:t>
      </w:r>
      <w:r>
        <w:rPr>
          <w:color w:val="010101"/>
          <w:w w:val="105"/>
        </w:rPr>
        <w:t>co-</w:t>
      </w:r>
      <w:r w:rsidR="00584826" w:rsidRPr="00132196">
        <w:rPr>
          <w:color w:val="010101"/>
          <w:w w:val="105"/>
        </w:rPr>
        <w:t>sponsor an</w:t>
      </w:r>
      <w:r>
        <w:rPr>
          <w:color w:val="010101"/>
          <w:w w:val="105"/>
        </w:rPr>
        <w:t xml:space="preserve"> external event</w:t>
      </w:r>
      <w:r w:rsidR="00584826" w:rsidRPr="00132196">
        <w:rPr>
          <w:color w:val="010101"/>
          <w:w w:val="105"/>
        </w:rPr>
        <w:t xml:space="preserve"> must first be submitted to </w:t>
      </w:r>
      <w:r w:rsidR="00BE233E">
        <w:rPr>
          <w:color w:val="010101"/>
          <w:w w:val="105"/>
        </w:rPr>
        <w:t xml:space="preserve">the department or unit’s </w:t>
      </w:r>
      <w:r w:rsidR="00ED5341">
        <w:rPr>
          <w:color w:val="010101"/>
          <w:w w:val="105"/>
        </w:rPr>
        <w:t>Vice President or Dean</w:t>
      </w:r>
      <w:r w:rsidR="00584826" w:rsidRPr="00132196">
        <w:rPr>
          <w:color w:val="010101"/>
          <w:w w:val="105"/>
        </w:rPr>
        <w:t xml:space="preserve"> for review and approval. Once approved, the </w:t>
      </w:r>
      <w:r>
        <w:rPr>
          <w:color w:val="010101"/>
          <w:w w:val="105"/>
        </w:rPr>
        <w:t>co-</w:t>
      </w:r>
      <w:r w:rsidR="00584826" w:rsidRPr="00132196">
        <w:rPr>
          <w:color w:val="010101"/>
          <w:w w:val="105"/>
        </w:rPr>
        <w:t>sponsor must upload the documented approval</w:t>
      </w:r>
      <w:r>
        <w:rPr>
          <w:color w:val="010101"/>
          <w:w w:val="105"/>
        </w:rPr>
        <w:t xml:space="preserve">, </w:t>
      </w:r>
      <w:r w:rsidR="00584826" w:rsidRPr="00132196">
        <w:rPr>
          <w:color w:val="010101"/>
          <w:w w:val="105"/>
        </w:rPr>
        <w:t>along with a clear rationale or justification for sponsorship</w:t>
      </w:r>
      <w:r>
        <w:rPr>
          <w:color w:val="010101"/>
          <w:w w:val="105"/>
        </w:rPr>
        <w:t xml:space="preserve">, </w:t>
      </w:r>
      <w:r w:rsidR="00584826" w:rsidRPr="00132196">
        <w:rPr>
          <w:color w:val="010101"/>
          <w:w w:val="105"/>
        </w:rPr>
        <w:t>when submitting the event request through the KSU Reservations Portal.</w:t>
      </w:r>
    </w:p>
    <w:p w14:paraId="5AF79754" w14:textId="21FA0C06" w:rsidR="00584826" w:rsidRDefault="00584826">
      <w:pPr>
        <w:pStyle w:val="BodyText"/>
        <w:spacing w:line="319" w:lineRule="auto"/>
        <w:ind w:left="845" w:right="170" w:firstLine="3"/>
        <w:rPr>
          <w:color w:val="010101"/>
          <w:w w:val="105"/>
        </w:rPr>
      </w:pPr>
    </w:p>
    <w:p w14:paraId="5D3C0A06" w14:textId="10C11CA0" w:rsidR="00DF5130" w:rsidRDefault="00953ED2">
      <w:pPr>
        <w:pStyle w:val="BodyText"/>
        <w:spacing w:line="319" w:lineRule="auto"/>
        <w:ind w:left="845" w:right="170" w:firstLine="3"/>
      </w:pPr>
      <w:r>
        <w:rPr>
          <w:color w:val="010101"/>
          <w:w w:val="105"/>
        </w:rPr>
        <w:t>For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Co-Sponsored Events,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University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Co-Sponsor 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responsible, individually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jointly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with the Non-Affiliated Entity,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following:</w:t>
      </w:r>
    </w:p>
    <w:p w14:paraId="5D3C0A07" w14:textId="77777777" w:rsidR="00DF5130" w:rsidRPr="00132196" w:rsidRDefault="00953ED2">
      <w:pPr>
        <w:pStyle w:val="ListParagraph"/>
        <w:numPr>
          <w:ilvl w:val="1"/>
          <w:numId w:val="1"/>
        </w:numPr>
        <w:tabs>
          <w:tab w:val="left" w:pos="1571"/>
          <w:tab w:val="left" w:pos="1574"/>
        </w:tabs>
        <w:spacing w:before="3" w:line="316" w:lineRule="auto"/>
        <w:ind w:right="262" w:hanging="365"/>
        <w:rPr>
          <w:sz w:val="19"/>
        </w:rPr>
      </w:pPr>
      <w:r>
        <w:rPr>
          <w:color w:val="010101"/>
          <w:w w:val="105"/>
          <w:sz w:val="19"/>
        </w:rPr>
        <w:t xml:space="preserve">Being present throughout the event and have available for inspection the confirmation copy of the Event Request Form and applicable support documents and </w:t>
      </w:r>
      <w:proofErr w:type="gramStart"/>
      <w:r>
        <w:rPr>
          <w:color w:val="010101"/>
          <w:w w:val="105"/>
          <w:sz w:val="19"/>
        </w:rPr>
        <w:t>licenses;</w:t>
      </w:r>
      <w:proofErr w:type="gramEnd"/>
    </w:p>
    <w:p w14:paraId="0D90277B" w14:textId="539E5205" w:rsidR="003D2722" w:rsidRPr="00132196" w:rsidRDefault="003D2722" w:rsidP="00132196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</w:rPr>
      </w:pPr>
      <w:r w:rsidRPr="003D2722">
        <w:rPr>
          <w:rFonts w:ascii="Aptos" w:eastAsia="Times New Roman" w:hAnsi="Aptos" w:cs="Times New Roman"/>
        </w:rPr>
        <w:t xml:space="preserve">While the Department of Event and Venue Management will coordinate event logistics directly with the </w:t>
      </w:r>
      <w:r w:rsidR="00D550BD">
        <w:rPr>
          <w:rFonts w:ascii="Aptos" w:eastAsia="Times New Roman" w:hAnsi="Aptos" w:cs="Times New Roman"/>
        </w:rPr>
        <w:t>Non-Affiliated or External Entity</w:t>
      </w:r>
      <w:r w:rsidRPr="003D2722">
        <w:rPr>
          <w:rFonts w:ascii="Aptos" w:eastAsia="Times New Roman" w:hAnsi="Aptos" w:cs="Times New Roman"/>
        </w:rPr>
        <w:t xml:space="preserve">, the </w:t>
      </w:r>
      <w:r w:rsidR="00D550BD">
        <w:rPr>
          <w:rFonts w:ascii="Aptos" w:eastAsia="Times New Roman" w:hAnsi="Aptos" w:cs="Times New Roman"/>
        </w:rPr>
        <w:t>co-</w:t>
      </w:r>
      <w:r w:rsidRPr="003D2722">
        <w:rPr>
          <w:rFonts w:ascii="Aptos" w:eastAsia="Times New Roman" w:hAnsi="Aptos" w:cs="Times New Roman"/>
        </w:rPr>
        <w:t xml:space="preserve">sponsor is expected to remain informed of all event details and discussions. Any breakdowns in communication between the University and the </w:t>
      </w:r>
      <w:proofErr w:type="spellStart"/>
      <w:r w:rsidR="00D550BD" w:rsidRPr="003D2722">
        <w:rPr>
          <w:rFonts w:ascii="Aptos" w:eastAsia="Times New Roman" w:hAnsi="Aptos" w:cs="Times New Roman"/>
        </w:rPr>
        <w:t>the</w:t>
      </w:r>
      <w:proofErr w:type="spellEnd"/>
      <w:r w:rsidR="00D550BD" w:rsidRPr="003D2722">
        <w:rPr>
          <w:rFonts w:ascii="Aptos" w:eastAsia="Times New Roman" w:hAnsi="Aptos" w:cs="Times New Roman"/>
        </w:rPr>
        <w:t xml:space="preserve"> </w:t>
      </w:r>
      <w:r w:rsidR="00D550BD">
        <w:rPr>
          <w:rFonts w:ascii="Aptos" w:eastAsia="Times New Roman" w:hAnsi="Aptos" w:cs="Times New Roman"/>
        </w:rPr>
        <w:t>Non-Affiliated or External Entity</w:t>
      </w:r>
      <w:r w:rsidR="00D550BD" w:rsidRPr="003D2722">
        <w:rPr>
          <w:rFonts w:ascii="Aptos" w:eastAsia="Times New Roman" w:hAnsi="Aptos" w:cs="Times New Roman"/>
        </w:rPr>
        <w:t xml:space="preserve"> </w:t>
      </w:r>
      <w:r w:rsidRPr="003D2722">
        <w:rPr>
          <w:rFonts w:ascii="Aptos" w:eastAsia="Times New Roman" w:hAnsi="Aptos" w:cs="Times New Roman"/>
        </w:rPr>
        <w:t xml:space="preserve">may need to be resolved by the </w:t>
      </w:r>
      <w:proofErr w:type="gramStart"/>
      <w:r w:rsidRPr="003D2722">
        <w:rPr>
          <w:rFonts w:ascii="Aptos" w:eastAsia="Times New Roman" w:hAnsi="Aptos" w:cs="Times New Roman"/>
        </w:rPr>
        <w:t>sponsor</w:t>
      </w:r>
      <w:r>
        <w:rPr>
          <w:rFonts w:ascii="Aptos" w:eastAsia="Times New Roman" w:hAnsi="Aptos" w:cs="Times New Roman"/>
        </w:rPr>
        <w:t>;</w:t>
      </w:r>
      <w:proofErr w:type="gramEnd"/>
    </w:p>
    <w:p w14:paraId="5D3C0A08" w14:textId="77777777" w:rsidR="00DF5130" w:rsidRDefault="00953ED2">
      <w:pPr>
        <w:pStyle w:val="ListParagraph"/>
        <w:numPr>
          <w:ilvl w:val="1"/>
          <w:numId w:val="1"/>
        </w:numPr>
        <w:tabs>
          <w:tab w:val="left" w:pos="1567"/>
          <w:tab w:val="left" w:pos="1572"/>
        </w:tabs>
        <w:spacing w:before="5" w:line="321" w:lineRule="auto"/>
        <w:ind w:left="1572" w:right="214" w:hanging="362"/>
        <w:rPr>
          <w:sz w:val="19"/>
        </w:rPr>
      </w:pPr>
      <w:r>
        <w:rPr>
          <w:color w:val="010101"/>
          <w:w w:val="105"/>
          <w:sz w:val="19"/>
        </w:rPr>
        <w:t>Communicating any restrictions regarding the facility to the group and the</w:t>
      </w:r>
      <w:r>
        <w:rPr>
          <w:color w:val="010101"/>
          <w:spacing w:val="3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participants; </w:t>
      </w:r>
      <w:r>
        <w:rPr>
          <w:color w:val="010101"/>
          <w:spacing w:val="-4"/>
          <w:w w:val="105"/>
          <w:sz w:val="19"/>
        </w:rPr>
        <w:t>and</w:t>
      </w:r>
    </w:p>
    <w:p w14:paraId="5D3C0A09" w14:textId="77777777" w:rsidR="00DF5130" w:rsidRDefault="00953ED2">
      <w:pPr>
        <w:pStyle w:val="ListParagraph"/>
        <w:numPr>
          <w:ilvl w:val="1"/>
          <w:numId w:val="1"/>
        </w:numPr>
        <w:tabs>
          <w:tab w:val="left" w:pos="1572"/>
          <w:tab w:val="left" w:pos="1574"/>
        </w:tabs>
        <w:spacing w:line="321" w:lineRule="auto"/>
        <w:ind w:left="1572" w:right="330" w:hanging="362"/>
        <w:rPr>
          <w:sz w:val="19"/>
        </w:rPr>
      </w:pPr>
      <w:r>
        <w:rPr>
          <w:color w:val="010101"/>
          <w:w w:val="105"/>
          <w:sz w:val="19"/>
        </w:rPr>
        <w:t>All charges levied for use of the</w:t>
      </w:r>
      <w:r>
        <w:rPr>
          <w:color w:val="010101"/>
          <w:spacing w:val="3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facility, special services and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equipment, repair of any damages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2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2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facility,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costs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2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cleaning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above what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-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usual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-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customary.</w:t>
      </w:r>
    </w:p>
    <w:p w14:paraId="5D3C0A0A" w14:textId="77777777" w:rsidR="00DF5130" w:rsidRDefault="00DF5130">
      <w:pPr>
        <w:pStyle w:val="BodyText"/>
        <w:spacing w:before="61"/>
      </w:pPr>
    </w:p>
    <w:p w14:paraId="5D3C0A0B" w14:textId="77777777" w:rsidR="00DF5130" w:rsidRDefault="00953ED2">
      <w:pPr>
        <w:pStyle w:val="BodyText"/>
        <w:spacing w:line="319" w:lineRule="auto"/>
        <w:ind w:left="845" w:right="170" w:firstLine="3"/>
      </w:pPr>
      <w:r>
        <w:rPr>
          <w:color w:val="010101"/>
          <w:w w:val="110"/>
        </w:rPr>
        <w:t>Long-term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or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significant collaboration with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a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Non-Affiliated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or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External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Entity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does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not transform an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entity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into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an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Affiliated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Entity.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Allowing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Non-Affiliated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Entity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to register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under the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guise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of an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Affiliated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Entity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is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specifically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forbidden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and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may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result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in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forfeiture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of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the event reservation or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the associated funds.</w:t>
      </w:r>
    </w:p>
    <w:p w14:paraId="5D3C0A0C" w14:textId="77777777" w:rsidR="00DF5130" w:rsidRDefault="00DF5130">
      <w:pPr>
        <w:pStyle w:val="BodyText"/>
        <w:spacing w:before="76"/>
      </w:pPr>
    </w:p>
    <w:p w14:paraId="5D3C0A0D" w14:textId="77777777" w:rsidR="00DF5130" w:rsidRDefault="00953ED2">
      <w:pPr>
        <w:pStyle w:val="Heading1"/>
        <w:numPr>
          <w:ilvl w:val="0"/>
          <w:numId w:val="1"/>
        </w:numPr>
        <w:tabs>
          <w:tab w:val="left" w:pos="847"/>
        </w:tabs>
        <w:ind w:left="847" w:hanging="363"/>
        <w:rPr>
          <w:color w:val="010101"/>
        </w:rPr>
      </w:pPr>
      <w:r>
        <w:rPr>
          <w:color w:val="010101"/>
          <w:spacing w:val="-2"/>
        </w:rPr>
        <w:t>Rates</w:t>
      </w:r>
    </w:p>
    <w:p w14:paraId="5D3C0A0E" w14:textId="77777777" w:rsidR="00DF5130" w:rsidRDefault="00953ED2">
      <w:pPr>
        <w:pStyle w:val="BodyText"/>
        <w:spacing w:before="65" w:line="326" w:lineRule="auto"/>
        <w:ind w:left="846" w:right="180" w:firstLine="2"/>
      </w:pPr>
      <w:r>
        <w:rPr>
          <w:color w:val="010101"/>
          <w:w w:val="105"/>
        </w:rPr>
        <w:t>Co-Sponsored Events are levied the non-profit, external rates for facility rentals 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the applicable rates of the Affiliated Entity for all AV/Technical services.</w:t>
      </w:r>
    </w:p>
    <w:p w14:paraId="5D3C0A0F" w14:textId="77777777" w:rsidR="00DF5130" w:rsidRDefault="00DF5130">
      <w:pPr>
        <w:pStyle w:val="BodyText"/>
        <w:spacing w:before="66"/>
      </w:pPr>
    </w:p>
    <w:p w14:paraId="5D3C0A10" w14:textId="77777777" w:rsidR="00DF5130" w:rsidRDefault="00953ED2">
      <w:pPr>
        <w:pStyle w:val="Heading1"/>
        <w:numPr>
          <w:ilvl w:val="0"/>
          <w:numId w:val="1"/>
        </w:numPr>
        <w:tabs>
          <w:tab w:val="left" w:pos="846"/>
        </w:tabs>
        <w:spacing w:before="1"/>
        <w:ind w:left="846" w:hanging="358"/>
        <w:rPr>
          <w:color w:val="010101"/>
        </w:rPr>
      </w:pPr>
      <w:r>
        <w:rPr>
          <w:color w:val="010101"/>
          <w:spacing w:val="-6"/>
        </w:rPr>
        <w:t>Exclusions</w:t>
      </w:r>
      <w:r>
        <w:rPr>
          <w:color w:val="010101"/>
          <w:spacing w:val="2"/>
        </w:rPr>
        <w:t xml:space="preserve"> </w:t>
      </w:r>
      <w:r>
        <w:rPr>
          <w:color w:val="010101"/>
          <w:spacing w:val="-6"/>
        </w:rPr>
        <w:t>or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6"/>
        </w:rPr>
        <w:t>Exceptions</w:t>
      </w:r>
    </w:p>
    <w:p w14:paraId="5D3C0A11" w14:textId="77777777" w:rsidR="00DF5130" w:rsidRDefault="00953ED2">
      <w:pPr>
        <w:pStyle w:val="BodyText"/>
        <w:spacing w:before="69" w:line="319" w:lineRule="auto"/>
        <w:ind w:left="847" w:right="180" w:hanging="1"/>
      </w:pPr>
      <w:r>
        <w:rPr>
          <w:color w:val="010101"/>
        </w:rPr>
        <w:t>Exceptions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guidelines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President's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Cabinet,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 xml:space="preserve">and </w:t>
      </w:r>
      <w:r>
        <w:rPr>
          <w:color w:val="010101"/>
          <w:w w:val="110"/>
        </w:rPr>
        <w:t>written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documentation of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the rationale behind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the decision must be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maintained by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the Department of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Event and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Venue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Management.</w:t>
      </w:r>
    </w:p>
    <w:p w14:paraId="5D3C0A12" w14:textId="77777777" w:rsidR="00DF5130" w:rsidRDefault="00DF5130">
      <w:pPr>
        <w:pStyle w:val="BodyText"/>
        <w:spacing w:before="73"/>
      </w:pPr>
    </w:p>
    <w:p w14:paraId="5D3C0A13" w14:textId="77777777" w:rsidR="00DF5130" w:rsidRDefault="00953ED2">
      <w:pPr>
        <w:pStyle w:val="Heading1"/>
        <w:numPr>
          <w:ilvl w:val="0"/>
          <w:numId w:val="1"/>
        </w:numPr>
        <w:tabs>
          <w:tab w:val="left" w:pos="846"/>
        </w:tabs>
        <w:ind w:left="846"/>
        <w:rPr>
          <w:color w:val="010101"/>
        </w:rPr>
      </w:pPr>
      <w:r>
        <w:rPr>
          <w:color w:val="010101"/>
          <w:spacing w:val="-2"/>
        </w:rPr>
        <w:t>Restrictions</w:t>
      </w:r>
    </w:p>
    <w:p w14:paraId="5D3C0A14" w14:textId="77777777" w:rsidR="00DF5130" w:rsidRDefault="00DF5130">
      <w:pPr>
        <w:pStyle w:val="BodyText"/>
        <w:spacing w:before="10"/>
        <w:rPr>
          <w:b/>
        </w:rPr>
      </w:pPr>
    </w:p>
    <w:p w14:paraId="5D3C0A15" w14:textId="2896973E" w:rsidR="00DF5130" w:rsidRDefault="00953ED2">
      <w:pPr>
        <w:pStyle w:val="BodyText"/>
        <w:spacing w:line="319" w:lineRule="auto"/>
        <w:ind w:left="847" w:right="135"/>
        <w:jc w:val="both"/>
      </w:pPr>
      <w:r>
        <w:rPr>
          <w:color w:val="010101"/>
          <w:w w:val="105"/>
        </w:rPr>
        <w:t>Hosted external activities may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accommodated during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 academic year on 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space-available basis in accordance with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Space Usage Prioritization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 xml:space="preserve">Procedure. They will not receive priority </w:t>
      </w:r>
      <w:r w:rsidR="00614BC2">
        <w:rPr>
          <w:color w:val="010101"/>
          <w:w w:val="105"/>
        </w:rPr>
        <w:t>scheduling and</w:t>
      </w:r>
      <w:r>
        <w:rPr>
          <w:color w:val="010101"/>
          <w:w w:val="105"/>
        </w:rPr>
        <w:t xml:space="preserve"> may be subject to other facility-specific restrictions.</w:t>
      </w:r>
    </w:p>
    <w:p w14:paraId="5D3C0A16" w14:textId="77777777" w:rsidR="00DF5130" w:rsidRDefault="00953ED2">
      <w:pPr>
        <w:pStyle w:val="BodyText"/>
        <w:spacing w:before="167" w:line="319" w:lineRule="auto"/>
        <w:ind w:left="846" w:right="180" w:firstLine="1"/>
        <w:rPr>
          <w:color w:val="010101"/>
          <w:w w:val="105"/>
        </w:rPr>
      </w:pPr>
      <w:r>
        <w:rPr>
          <w:color w:val="010101"/>
          <w:w w:val="105"/>
        </w:rPr>
        <w:t>During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Summer Conference Season (the period beginning the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day after spring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commencement and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continuing until 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Sunday before residence halls open for fall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semester), event space may be available to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conferences, who must contract their rental via 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Department of Event and Venue Management.</w:t>
      </w:r>
    </w:p>
    <w:p w14:paraId="3FA9A1DA" w14:textId="1DDE79A9" w:rsidR="00592ED0" w:rsidRDefault="00592ED0">
      <w:pPr>
        <w:pStyle w:val="BodyText"/>
        <w:spacing w:before="167" w:line="319" w:lineRule="auto"/>
        <w:ind w:left="846" w:right="180" w:firstLine="1"/>
      </w:pPr>
      <w:r>
        <w:rPr>
          <w:color w:val="010101"/>
          <w:w w:val="105"/>
        </w:rPr>
        <w:lastRenderedPageBreak/>
        <w:t xml:space="preserve">No member of the university community </w:t>
      </w:r>
      <w:r w:rsidR="00B35B54">
        <w:rPr>
          <w:color w:val="010101"/>
          <w:w w:val="105"/>
        </w:rPr>
        <w:t xml:space="preserve">has an obligation to </w:t>
      </w:r>
      <w:r w:rsidR="005D2718">
        <w:rPr>
          <w:color w:val="010101"/>
          <w:w w:val="105"/>
        </w:rPr>
        <w:t xml:space="preserve">sponsor an outside group or individual </w:t>
      </w:r>
      <w:r w:rsidR="002A710B">
        <w:rPr>
          <w:color w:val="010101"/>
          <w:w w:val="105"/>
        </w:rPr>
        <w:t>seeking to hold an event on the university’s campus.</w:t>
      </w:r>
    </w:p>
    <w:sectPr w:rsidR="00592ED0">
      <w:pgSz w:w="12240" w:h="15840"/>
      <w:pgMar w:top="1580" w:right="1320" w:bottom="280" w:left="132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2E30" w14:textId="77777777" w:rsidR="00455ACA" w:rsidRDefault="00455ACA">
      <w:r>
        <w:separator/>
      </w:r>
    </w:p>
  </w:endnote>
  <w:endnote w:type="continuationSeparator" w:id="0">
    <w:p w14:paraId="67720AC2" w14:textId="77777777" w:rsidR="00455ACA" w:rsidRDefault="004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83F2" w14:textId="77777777" w:rsidR="00455ACA" w:rsidRDefault="00455ACA">
      <w:r>
        <w:separator/>
      </w:r>
    </w:p>
  </w:footnote>
  <w:footnote w:type="continuationSeparator" w:id="0">
    <w:p w14:paraId="50C24A31" w14:textId="77777777" w:rsidR="00455ACA" w:rsidRDefault="0045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0A1F" w14:textId="77777777" w:rsidR="00DF5130" w:rsidRDefault="00953E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D3C0A20" wp14:editId="5D3C0A21">
              <wp:simplePos x="0" y="0"/>
              <wp:positionH relativeFrom="page">
                <wp:posOffset>906250</wp:posOffset>
              </wp:positionH>
              <wp:positionV relativeFrom="page">
                <wp:posOffset>451679</wp:posOffset>
              </wp:positionV>
              <wp:extent cx="1800860" cy="328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C0A25" w14:textId="77777777" w:rsidR="00DF5130" w:rsidRDefault="00953ED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30303"/>
                            </w:rPr>
                            <w:t>Kennesaw</w:t>
                          </w:r>
                          <w:r>
                            <w:rPr>
                              <w:color w:val="030303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</w:rPr>
                            <w:t>State</w:t>
                          </w:r>
                          <w:r>
                            <w:rPr>
                              <w:color w:val="030303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</w:rPr>
                            <w:t>University</w:t>
                          </w:r>
                        </w:p>
                        <w:p w14:paraId="5D3C0A26" w14:textId="77777777" w:rsidR="00DF5130" w:rsidRDefault="00953ED2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rPr>
                              <w:color w:val="030303"/>
                            </w:rPr>
                            <w:t>Co-Sponsored</w:t>
                          </w:r>
                          <w:r>
                            <w:rPr>
                              <w:color w:val="030303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</w:rPr>
                            <w:t>Event</w:t>
                          </w:r>
                          <w:r>
                            <w:rPr>
                              <w:color w:val="030303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C0A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35pt;margin-top:35.55pt;width:141.8pt;height:25.8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" filled="f" stroked="f">
              <v:textbox inset="0,0,0,0">
                <w:txbxContent>
                  <w:p w14:paraId="5D3C0A25" w14:textId="77777777" w:rsidR="00DF5130" w:rsidRDefault="00953ED2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30303"/>
                      </w:rPr>
                      <w:t>Kennesaw</w:t>
                    </w:r>
                    <w:r>
                      <w:rPr>
                        <w:color w:val="030303"/>
                        <w:spacing w:val="19"/>
                      </w:rPr>
                      <w:t xml:space="preserve"> </w:t>
                    </w:r>
                    <w:r>
                      <w:rPr>
                        <w:color w:val="030303"/>
                      </w:rPr>
                      <w:t>State</w:t>
                    </w:r>
                    <w:r>
                      <w:rPr>
                        <w:color w:val="030303"/>
                        <w:spacing w:val="14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</w:rPr>
                      <w:t>University</w:t>
                    </w:r>
                  </w:p>
                  <w:p w14:paraId="5D3C0A26" w14:textId="77777777" w:rsidR="00DF5130" w:rsidRDefault="00953ED2">
                    <w:pPr>
                      <w:pStyle w:val="BodyText"/>
                      <w:spacing w:before="46"/>
                      <w:ind w:left="20"/>
                    </w:pPr>
                    <w:r>
                      <w:rPr>
                        <w:color w:val="030303"/>
                      </w:rPr>
                      <w:t>Co-Sponsored</w:t>
                    </w:r>
                    <w:r>
                      <w:rPr>
                        <w:color w:val="030303"/>
                        <w:spacing w:val="16"/>
                      </w:rPr>
                      <w:t xml:space="preserve"> </w:t>
                    </w:r>
                    <w:r>
                      <w:rPr>
                        <w:color w:val="030303"/>
                      </w:rPr>
                      <w:t>Event</w:t>
                    </w:r>
                    <w:r>
                      <w:rPr>
                        <w:color w:val="030303"/>
                        <w:spacing w:val="10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338B9"/>
    <w:multiLevelType w:val="hybridMultilevel"/>
    <w:tmpl w:val="90CC787E"/>
    <w:lvl w:ilvl="0" w:tplc="064E57BC">
      <w:start w:val="1"/>
      <w:numFmt w:val="decimal"/>
      <w:lvlText w:val="%1."/>
      <w:lvlJc w:val="left"/>
      <w:pPr>
        <w:ind w:left="848" w:hanging="362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436CDE02">
      <w:start w:val="1"/>
      <w:numFmt w:val="lowerLetter"/>
      <w:lvlText w:val="%2."/>
      <w:lvlJc w:val="left"/>
      <w:pPr>
        <w:ind w:left="1571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5"/>
        <w:sz w:val="19"/>
        <w:szCs w:val="19"/>
        <w:lang w:val="en-US" w:eastAsia="en-US" w:bidi="ar-SA"/>
      </w:rPr>
    </w:lvl>
    <w:lvl w:ilvl="2" w:tplc="7D26AB22">
      <w:numFmt w:val="bullet"/>
      <w:lvlText w:val="•"/>
      <w:lvlJc w:val="left"/>
      <w:pPr>
        <w:ind w:left="2471" w:hanging="368"/>
      </w:pPr>
      <w:rPr>
        <w:rFonts w:hint="default"/>
        <w:lang w:val="en-US" w:eastAsia="en-US" w:bidi="ar-SA"/>
      </w:rPr>
    </w:lvl>
    <w:lvl w:ilvl="3" w:tplc="BD481FF2">
      <w:numFmt w:val="bullet"/>
      <w:lvlText w:val="•"/>
      <w:lvlJc w:val="left"/>
      <w:pPr>
        <w:ind w:left="3362" w:hanging="368"/>
      </w:pPr>
      <w:rPr>
        <w:rFonts w:hint="default"/>
        <w:lang w:val="en-US" w:eastAsia="en-US" w:bidi="ar-SA"/>
      </w:rPr>
    </w:lvl>
    <w:lvl w:ilvl="4" w:tplc="EADEDD72">
      <w:numFmt w:val="bullet"/>
      <w:lvlText w:val="•"/>
      <w:lvlJc w:val="left"/>
      <w:pPr>
        <w:ind w:left="4253" w:hanging="368"/>
      </w:pPr>
      <w:rPr>
        <w:rFonts w:hint="default"/>
        <w:lang w:val="en-US" w:eastAsia="en-US" w:bidi="ar-SA"/>
      </w:rPr>
    </w:lvl>
    <w:lvl w:ilvl="5" w:tplc="F04415C6">
      <w:numFmt w:val="bullet"/>
      <w:lvlText w:val="•"/>
      <w:lvlJc w:val="left"/>
      <w:pPr>
        <w:ind w:left="5144" w:hanging="368"/>
      </w:pPr>
      <w:rPr>
        <w:rFonts w:hint="default"/>
        <w:lang w:val="en-US" w:eastAsia="en-US" w:bidi="ar-SA"/>
      </w:rPr>
    </w:lvl>
    <w:lvl w:ilvl="6" w:tplc="C97295CE">
      <w:numFmt w:val="bullet"/>
      <w:lvlText w:val="•"/>
      <w:lvlJc w:val="left"/>
      <w:pPr>
        <w:ind w:left="6035" w:hanging="368"/>
      </w:pPr>
      <w:rPr>
        <w:rFonts w:hint="default"/>
        <w:lang w:val="en-US" w:eastAsia="en-US" w:bidi="ar-SA"/>
      </w:rPr>
    </w:lvl>
    <w:lvl w:ilvl="7" w:tplc="7B9EE46A">
      <w:numFmt w:val="bullet"/>
      <w:lvlText w:val="•"/>
      <w:lvlJc w:val="left"/>
      <w:pPr>
        <w:ind w:left="6926" w:hanging="368"/>
      </w:pPr>
      <w:rPr>
        <w:rFonts w:hint="default"/>
        <w:lang w:val="en-US" w:eastAsia="en-US" w:bidi="ar-SA"/>
      </w:rPr>
    </w:lvl>
    <w:lvl w:ilvl="8" w:tplc="68B8FB30">
      <w:numFmt w:val="bullet"/>
      <w:lvlText w:val="•"/>
      <w:lvlJc w:val="left"/>
      <w:pPr>
        <w:ind w:left="7817" w:hanging="368"/>
      </w:pPr>
      <w:rPr>
        <w:rFonts w:hint="default"/>
        <w:lang w:val="en-US" w:eastAsia="en-US" w:bidi="ar-SA"/>
      </w:rPr>
    </w:lvl>
  </w:abstractNum>
  <w:num w:numId="1" w16cid:durableId="100062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30"/>
    <w:rsid w:val="000B5D48"/>
    <w:rsid w:val="00132196"/>
    <w:rsid w:val="00181663"/>
    <w:rsid w:val="002031B1"/>
    <w:rsid w:val="002A710B"/>
    <w:rsid w:val="00374028"/>
    <w:rsid w:val="003D2722"/>
    <w:rsid w:val="00455ACA"/>
    <w:rsid w:val="004B1F41"/>
    <w:rsid w:val="00584826"/>
    <w:rsid w:val="00592ED0"/>
    <w:rsid w:val="005C6EBA"/>
    <w:rsid w:val="005D2718"/>
    <w:rsid w:val="00614BC2"/>
    <w:rsid w:val="006C61A9"/>
    <w:rsid w:val="00703A32"/>
    <w:rsid w:val="007719AB"/>
    <w:rsid w:val="007D5877"/>
    <w:rsid w:val="009002C0"/>
    <w:rsid w:val="00953ED2"/>
    <w:rsid w:val="00985DEA"/>
    <w:rsid w:val="009A46C9"/>
    <w:rsid w:val="00A674B7"/>
    <w:rsid w:val="00B35B54"/>
    <w:rsid w:val="00B64F5C"/>
    <w:rsid w:val="00BE233E"/>
    <w:rsid w:val="00CB70A7"/>
    <w:rsid w:val="00CC600D"/>
    <w:rsid w:val="00D41851"/>
    <w:rsid w:val="00D550BD"/>
    <w:rsid w:val="00D8643A"/>
    <w:rsid w:val="00DF5130"/>
    <w:rsid w:val="00E20898"/>
    <w:rsid w:val="00ED0050"/>
    <w:rsid w:val="00ED5341"/>
    <w:rsid w:val="00F34782"/>
    <w:rsid w:val="00F3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09E5"/>
  <w15:docId w15:val="{D0795D8E-4477-4A4D-A34F-459277E2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6" w:hanging="363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46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B70A7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B70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4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78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782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6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0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6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00D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719AB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kopitz@kennesa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ennesaw.edu/event-venue-management/event-planning-resources/docs/ksu-space-usage-prioritization-procedure-fy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Co-Sponsored Event Guidelines.pdf</vt:lpstr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Co-Sponsored Event Guidelines.pdf</dc:title>
  <dc:creator>claw9</dc:creator>
  <cp:lastModifiedBy>Zachary Kerns</cp:lastModifiedBy>
  <cp:revision>11</cp:revision>
  <dcterms:created xsi:type="dcterms:W3CDTF">2025-10-06T16:07:00Z</dcterms:created>
  <dcterms:modified xsi:type="dcterms:W3CDTF">2025-10-06T16:19:00Z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Microsoft: Print To PDF</vt:lpwstr>
  </property>
</Properties>
</file>