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3FE" w:rsidRPr="00EB33FE" w:rsidRDefault="00EB33FE" w:rsidP="00EB33FE">
      <w:pPr>
        <w:pBdr>
          <w:top w:val="nil"/>
          <w:left w:val="nil"/>
          <w:bottom w:val="nil"/>
          <w:right w:val="nil"/>
          <w:between w:val="nil"/>
          <w:bar w:val="nil"/>
        </w:pBdr>
        <w:spacing w:after="0" w:line="240" w:lineRule="auto"/>
        <w:ind w:left="40"/>
        <w:jc w:val="center"/>
        <w:rPr>
          <w:rFonts w:ascii="Calibri" w:eastAsia="Arial Unicode MS" w:hAnsi="Arial Unicode MS" w:cs="Arial Unicode MS"/>
          <w:color w:val="000000"/>
          <w:u w:color="000000"/>
          <w:bdr w:val="nil"/>
        </w:rPr>
      </w:pPr>
      <w:r w:rsidRPr="00EB33FE">
        <w:rPr>
          <w:rFonts w:ascii="Calibri" w:eastAsia="Arial Unicode MS" w:hAnsi="Arial Unicode MS" w:cs="Arial Unicode MS"/>
          <w:b/>
          <w:bCs/>
          <w:color w:val="292B2F"/>
          <w:u w:color="292B2F"/>
          <w:bdr w:val="nil"/>
        </w:rPr>
        <w:t>HSS Curriculum Committee (HSSCC)</w:t>
      </w:r>
    </w:p>
    <w:p w:rsidR="00EB33FE" w:rsidRPr="00EB33FE" w:rsidRDefault="00EB33FE" w:rsidP="00EB33FE">
      <w:pPr>
        <w:pBdr>
          <w:top w:val="nil"/>
          <w:left w:val="nil"/>
          <w:bottom w:val="nil"/>
          <w:right w:val="nil"/>
          <w:between w:val="nil"/>
          <w:bar w:val="nil"/>
        </w:pBdr>
        <w:spacing w:after="0" w:line="240" w:lineRule="auto"/>
        <w:ind w:left="40"/>
        <w:jc w:val="center"/>
        <w:rPr>
          <w:rFonts w:ascii="Calibri" w:eastAsia="Arial Unicode MS" w:hAnsi="Arial Unicode MS" w:cs="Arial Unicode MS"/>
          <w:b/>
          <w:bCs/>
          <w:color w:val="292B2F"/>
          <w:u w:color="292B2F"/>
          <w:bdr w:val="nil"/>
        </w:rPr>
      </w:pPr>
      <w:r w:rsidRPr="00EB33FE">
        <w:rPr>
          <w:rFonts w:ascii="Calibri" w:eastAsia="Arial Unicode MS" w:hAnsi="Arial Unicode MS" w:cs="Arial Unicode MS"/>
          <w:b/>
          <w:bCs/>
          <w:color w:val="292B2F"/>
          <w:u w:color="292B2F"/>
          <w:bdr w:val="nil"/>
          <w:lang w:val="fr-FR"/>
        </w:rPr>
        <w:t>Minutes</w:t>
      </w:r>
      <w:r w:rsidRPr="00EB33FE">
        <w:rPr>
          <w:rFonts w:ascii="Calibri" w:eastAsia="Arial Unicode MS" w:hAnsi="Arial Unicode MS" w:cs="Arial Unicode MS"/>
          <w:b/>
          <w:bCs/>
          <w:color w:val="292B2F"/>
          <w:u w:color="292B2F"/>
          <w:bdr w:val="nil"/>
        </w:rPr>
        <w:t xml:space="preserve"> </w:t>
      </w:r>
      <w:r>
        <w:rPr>
          <w:rFonts w:ascii="Calibri" w:eastAsia="Arial Unicode MS" w:hAnsi="Arial Unicode MS" w:cs="Arial Unicode MS"/>
          <w:b/>
          <w:bCs/>
          <w:color w:val="292B2F"/>
          <w:u w:color="292B2F"/>
          <w:bdr w:val="nil"/>
        </w:rPr>
        <w:t>1 November</w:t>
      </w:r>
      <w:r w:rsidRPr="00EB33FE">
        <w:rPr>
          <w:rFonts w:ascii="Calibri" w:eastAsia="Arial Unicode MS" w:hAnsi="Arial Unicode MS" w:cs="Arial Unicode MS"/>
          <w:b/>
          <w:bCs/>
          <w:color w:val="292B2F"/>
          <w:u w:color="292B2F"/>
          <w:bdr w:val="nil"/>
        </w:rPr>
        <w:t xml:space="preserve"> 2016</w:t>
      </w:r>
    </w:p>
    <w:p w:rsidR="00EB33FE" w:rsidRPr="00EB33FE" w:rsidRDefault="00EB33FE" w:rsidP="00EB33FE">
      <w:pPr>
        <w:pBdr>
          <w:top w:val="nil"/>
          <w:left w:val="nil"/>
          <w:bottom w:val="nil"/>
          <w:right w:val="nil"/>
          <w:between w:val="nil"/>
          <w:bar w:val="nil"/>
        </w:pBdr>
        <w:spacing w:after="0" w:line="240" w:lineRule="auto"/>
        <w:ind w:left="40"/>
        <w:jc w:val="center"/>
        <w:rPr>
          <w:rFonts w:ascii="Calibri" w:eastAsia="Arial Unicode MS" w:hAnsi="Arial Unicode MS" w:cs="Arial Unicode MS"/>
          <w:b/>
          <w:bCs/>
          <w:color w:val="292B2F"/>
          <w:u w:color="292B2F"/>
          <w:bdr w:val="nil"/>
        </w:rPr>
      </w:pPr>
      <w:r w:rsidRPr="00EB33FE">
        <w:rPr>
          <w:rFonts w:ascii="Calibri" w:eastAsia="Arial Unicode MS" w:hAnsi="Arial Unicode MS" w:cs="Arial Unicode MS"/>
          <w:b/>
          <w:bCs/>
          <w:color w:val="292B2F"/>
          <w:u w:color="292B2F"/>
          <w:bdr w:val="nil"/>
        </w:rPr>
        <w:t>Location: SO 3020</w:t>
      </w:r>
    </w:p>
    <w:p w:rsidR="00EB33FE" w:rsidRPr="00EB33FE" w:rsidRDefault="00EB33FE" w:rsidP="00EB33FE">
      <w:pPr>
        <w:pBdr>
          <w:top w:val="nil"/>
          <w:left w:val="nil"/>
          <w:bottom w:val="nil"/>
          <w:right w:val="nil"/>
          <w:between w:val="nil"/>
          <w:bar w:val="nil"/>
        </w:pBdr>
        <w:spacing w:after="0" w:line="240" w:lineRule="auto"/>
        <w:ind w:left="40"/>
        <w:jc w:val="center"/>
        <w:rPr>
          <w:rFonts w:ascii="Calibri" w:eastAsia="Arial Unicode MS" w:hAnsi="Arial Unicode MS" w:cs="Arial Unicode MS"/>
          <w:color w:val="000000"/>
          <w:u w:color="000000"/>
          <w:bdr w:val="nil"/>
        </w:rPr>
      </w:pPr>
    </w:p>
    <w:p w:rsidR="00EB33FE" w:rsidRPr="00EB33FE" w:rsidRDefault="00EB33FE" w:rsidP="00EB33FE">
      <w:pPr>
        <w:pBdr>
          <w:top w:val="nil"/>
          <w:left w:val="nil"/>
          <w:bottom w:val="nil"/>
          <w:right w:val="nil"/>
          <w:between w:val="nil"/>
          <w:bar w:val="nil"/>
        </w:pBdr>
        <w:spacing w:after="0" w:line="240" w:lineRule="auto"/>
        <w:ind w:left="40" w:right="59"/>
        <w:rPr>
          <w:rFonts w:ascii="Calibri" w:eastAsia="Arial Unicode MS" w:hAnsi="Arial Unicode MS" w:cs="Arial Unicode MS"/>
          <w:b/>
          <w:bCs/>
          <w:color w:val="292B2F"/>
          <w:u w:color="292B2F"/>
          <w:bdr w:val="nil"/>
        </w:rPr>
      </w:pPr>
    </w:p>
    <w:p w:rsidR="00EB33FE" w:rsidRPr="00EB33FE" w:rsidRDefault="00EB33FE" w:rsidP="00EB33FE">
      <w:pPr>
        <w:pBdr>
          <w:top w:val="nil"/>
          <w:left w:val="nil"/>
          <w:bottom w:val="nil"/>
          <w:right w:val="nil"/>
          <w:between w:val="nil"/>
          <w:bar w:val="nil"/>
        </w:pBdr>
        <w:spacing w:after="0" w:line="240" w:lineRule="auto"/>
        <w:ind w:left="40" w:right="59"/>
        <w:rPr>
          <w:rFonts w:ascii="Calibri" w:eastAsia="Arial Unicode MS" w:hAnsi="Arial Unicode MS" w:cs="Arial Unicode MS"/>
          <w:color w:val="292B2F"/>
          <w:u w:color="292B2F"/>
          <w:bdr w:val="nil"/>
        </w:rPr>
      </w:pPr>
      <w:r w:rsidRPr="00EB33FE">
        <w:rPr>
          <w:rFonts w:ascii="Calibri" w:eastAsia="Arial Unicode MS" w:hAnsi="Arial Unicode MS" w:cs="Arial Unicode MS"/>
          <w:b/>
          <w:bCs/>
          <w:color w:val="292B2F"/>
          <w:u w:color="292B2F"/>
          <w:bdr w:val="nil"/>
        </w:rPr>
        <w:t xml:space="preserve">In </w:t>
      </w:r>
      <w:proofErr w:type="spellStart"/>
      <w:r w:rsidRPr="00EB33FE">
        <w:rPr>
          <w:rFonts w:ascii="Calibri" w:eastAsia="Arial Unicode MS" w:hAnsi="Arial Unicode MS" w:cs="Arial Unicode MS"/>
          <w:b/>
          <w:bCs/>
          <w:color w:val="292B2F"/>
          <w:u w:color="292B2F"/>
          <w:bdr w:val="nil"/>
          <w:lang w:val="fr-FR"/>
        </w:rPr>
        <w:t>Attendance</w:t>
      </w:r>
      <w:proofErr w:type="spellEnd"/>
      <w:r w:rsidRPr="00EB33FE">
        <w:rPr>
          <w:rFonts w:ascii="Calibri" w:eastAsia="Arial Unicode MS" w:hAnsi="Arial Unicode MS" w:cs="Arial Unicode MS"/>
          <w:b/>
          <w:bCs/>
          <w:color w:val="292B2F"/>
          <w:u w:color="292B2F"/>
          <w:bdr w:val="nil"/>
          <w:lang w:val="fr-FR"/>
        </w:rPr>
        <w:t>:</w:t>
      </w:r>
    </w:p>
    <w:p w:rsidR="00EB33FE" w:rsidRPr="00EB33FE" w:rsidRDefault="00EB33FE" w:rsidP="00EB33FE">
      <w:pPr>
        <w:pBdr>
          <w:top w:val="nil"/>
          <w:left w:val="nil"/>
          <w:bottom w:val="nil"/>
          <w:right w:val="nil"/>
          <w:between w:val="nil"/>
          <w:bar w:val="nil"/>
        </w:pBdr>
        <w:spacing w:after="0" w:line="240" w:lineRule="auto"/>
        <w:ind w:left="40" w:right="59"/>
        <w:rPr>
          <w:rFonts w:ascii="Calibri" w:eastAsia="Arial Unicode MS" w:hAnsi="Arial Unicode MS" w:cs="Arial Unicode MS"/>
          <w:color w:val="000000"/>
          <w:u w:color="000000"/>
          <w:bdr w:val="nil"/>
        </w:rPr>
      </w:pPr>
    </w:p>
    <w:tbl>
      <w:tblPr>
        <w:tblW w:w="1025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415"/>
        <w:gridCol w:w="3830"/>
        <w:gridCol w:w="3005"/>
      </w:tblGrid>
      <w:tr w:rsidR="00EB33FE" w:rsidRPr="00EB33FE" w:rsidTr="008F4F81">
        <w:trPr>
          <w:trHeight w:val="260"/>
        </w:trPr>
        <w:tc>
          <w:tcPr>
            <w:tcW w:w="3415" w:type="dxa"/>
            <w:tcBorders>
              <w:top w:val="nil"/>
              <w:left w:val="nil"/>
              <w:bottom w:val="nil"/>
              <w:right w:val="nil"/>
            </w:tcBorders>
            <w:shd w:val="clear" w:color="auto" w:fill="auto"/>
            <w:tcMar>
              <w:top w:w="80" w:type="dxa"/>
              <w:left w:w="80" w:type="dxa"/>
              <w:bottom w:w="80" w:type="dxa"/>
              <w:right w:w="139" w:type="dxa"/>
            </w:tcMar>
          </w:tcPr>
          <w:p w:rsidR="00EB33FE" w:rsidRPr="00EB33FE" w:rsidRDefault="00EB33FE" w:rsidP="00EB33FE">
            <w:pPr>
              <w:pBdr>
                <w:top w:val="nil"/>
                <w:left w:val="nil"/>
                <w:bottom w:val="nil"/>
                <w:right w:val="nil"/>
                <w:between w:val="nil"/>
                <w:bar w:val="nil"/>
              </w:pBdr>
              <w:spacing w:after="0" w:line="240" w:lineRule="auto"/>
              <w:ind w:right="59"/>
              <w:rPr>
                <w:rFonts w:ascii="Calibri" w:eastAsia="Arial Unicode MS" w:hAnsi="Arial Unicode MS" w:cs="Arial Unicode MS"/>
                <w:color w:val="000000"/>
                <w:u w:color="000000"/>
                <w:bdr w:val="nil"/>
              </w:rPr>
            </w:pPr>
            <w:r w:rsidRPr="00EB33FE">
              <w:rPr>
                <w:rFonts w:ascii="MS Gothic" w:eastAsia="MS Gothic" w:hAnsi="MS Gothic" w:cs="MS Gothic" w:hint="eastAsia"/>
                <w:color w:val="000000"/>
                <w:u w:color="000000"/>
                <w:bdr w:val="nil"/>
              </w:rPr>
              <w:t>☒</w:t>
            </w:r>
            <w:r w:rsidRPr="00EB33FE">
              <w:rPr>
                <w:rFonts w:ascii="Calibri" w:eastAsia="Arial Unicode MS" w:hAnsi="Calibri" w:cs="Arial Unicode MS"/>
                <w:color w:val="000000"/>
                <w:u w:color="000000"/>
                <w:bdr w:val="nil"/>
              </w:rPr>
              <w:t xml:space="preserve">  </w:t>
            </w:r>
            <w:r w:rsidRPr="00EB33FE">
              <w:rPr>
                <w:rFonts w:ascii="Calibri" w:eastAsia="Arial Unicode MS" w:hAnsi="Arial Unicode MS" w:cs="Arial Unicode MS"/>
                <w:color w:val="000000"/>
                <w:u w:color="000000"/>
                <w:bdr w:val="nil"/>
              </w:rPr>
              <w:t>Amy Donahue (HIST/PHIL)</w:t>
            </w:r>
          </w:p>
        </w:tc>
        <w:tc>
          <w:tcPr>
            <w:tcW w:w="3830" w:type="dxa"/>
            <w:tcBorders>
              <w:top w:val="nil"/>
              <w:left w:val="nil"/>
              <w:bottom w:val="nil"/>
              <w:right w:val="nil"/>
            </w:tcBorders>
            <w:shd w:val="clear" w:color="auto" w:fill="auto"/>
            <w:tcMar>
              <w:top w:w="80" w:type="dxa"/>
              <w:left w:w="80" w:type="dxa"/>
              <w:bottom w:w="80" w:type="dxa"/>
              <w:right w:w="139" w:type="dxa"/>
            </w:tcMar>
          </w:tcPr>
          <w:p w:rsidR="00EB33FE" w:rsidRPr="00EB33FE" w:rsidRDefault="00EB33FE" w:rsidP="00EB33FE">
            <w:pPr>
              <w:pBdr>
                <w:top w:val="nil"/>
                <w:left w:val="nil"/>
                <w:bottom w:val="nil"/>
                <w:right w:val="nil"/>
                <w:between w:val="nil"/>
                <w:bar w:val="nil"/>
              </w:pBdr>
              <w:spacing w:after="0" w:line="240" w:lineRule="auto"/>
              <w:ind w:right="59"/>
              <w:rPr>
                <w:rFonts w:ascii="Calibri" w:eastAsia="Arial Unicode MS" w:hAnsi="Arial Unicode MS" w:cs="Arial Unicode MS"/>
                <w:color w:val="000000"/>
                <w:u w:color="000000"/>
                <w:bdr w:val="nil"/>
              </w:rPr>
            </w:pPr>
            <w:r w:rsidRPr="00EB33FE">
              <w:rPr>
                <w:rFonts w:ascii="MS Gothic" w:eastAsia="MS Gothic" w:hAnsi="MS Gothic" w:cs="MS Gothic" w:hint="eastAsia"/>
                <w:color w:val="000000"/>
                <w:u w:color="000000"/>
                <w:bdr w:val="nil"/>
              </w:rPr>
              <w:t>☒</w:t>
            </w:r>
            <w:r w:rsidRPr="00EB33FE">
              <w:rPr>
                <w:rFonts w:ascii="Calibri" w:eastAsia="Arial Unicode MS" w:hAnsi="Calibri" w:cs="Arial Unicode MS"/>
                <w:color w:val="000000"/>
                <w:u w:color="000000"/>
                <w:bdr w:val="nil"/>
              </w:rPr>
              <w:t xml:space="preserve">  </w:t>
            </w:r>
            <w:proofErr w:type="spellStart"/>
            <w:r w:rsidRPr="00EB33FE">
              <w:rPr>
                <w:rFonts w:ascii="Calibri" w:eastAsia="Arial Unicode MS" w:hAnsi="Arial Unicode MS" w:cs="Arial Unicode MS"/>
                <w:color w:val="000000"/>
                <w:u w:color="000000"/>
                <w:bdr w:val="nil"/>
              </w:rPr>
              <w:t>Chien</w:t>
            </w:r>
            <w:proofErr w:type="spellEnd"/>
            <w:r w:rsidRPr="00EB33FE">
              <w:rPr>
                <w:rFonts w:ascii="Calibri" w:eastAsia="Arial Unicode MS" w:hAnsi="Arial Unicode MS" w:cs="Arial Unicode MS"/>
                <w:color w:val="000000"/>
                <w:u w:color="000000"/>
                <w:bdr w:val="nil"/>
              </w:rPr>
              <w:t>-pin Li (Dean</w:t>
            </w:r>
            <w:r w:rsidRPr="00EB33FE">
              <w:rPr>
                <w:rFonts w:ascii="Calibri" w:eastAsia="Arial Unicode MS" w:hAnsi="Calibri" w:cs="Arial Unicode MS"/>
                <w:color w:val="000000"/>
                <w:u w:color="000000"/>
                <w:bdr w:val="nil"/>
              </w:rPr>
              <w:t>’</w:t>
            </w:r>
            <w:r w:rsidRPr="00EB33FE">
              <w:rPr>
                <w:rFonts w:ascii="Calibri" w:eastAsia="Arial Unicode MS" w:hAnsi="Arial Unicode MS" w:cs="Arial Unicode MS"/>
                <w:color w:val="000000"/>
                <w:u w:color="000000"/>
                <w:bdr w:val="nil"/>
              </w:rPr>
              <w:t>s Office)</w:t>
            </w:r>
          </w:p>
        </w:tc>
        <w:tc>
          <w:tcPr>
            <w:tcW w:w="3005" w:type="dxa"/>
            <w:tcBorders>
              <w:top w:val="nil"/>
              <w:left w:val="nil"/>
              <w:bottom w:val="nil"/>
              <w:right w:val="nil"/>
            </w:tcBorders>
            <w:shd w:val="clear" w:color="auto" w:fill="auto"/>
            <w:tcMar>
              <w:top w:w="80" w:type="dxa"/>
              <w:left w:w="80" w:type="dxa"/>
              <w:bottom w:w="80" w:type="dxa"/>
              <w:right w:w="139" w:type="dxa"/>
            </w:tcMar>
          </w:tcPr>
          <w:p w:rsidR="00EB33FE" w:rsidRPr="00EB33FE" w:rsidRDefault="00EB33FE" w:rsidP="00EB33FE">
            <w:pPr>
              <w:pBdr>
                <w:top w:val="nil"/>
                <w:left w:val="nil"/>
                <w:bottom w:val="nil"/>
                <w:right w:val="nil"/>
                <w:between w:val="nil"/>
                <w:bar w:val="nil"/>
              </w:pBdr>
              <w:spacing w:after="0" w:line="240" w:lineRule="auto"/>
              <w:ind w:right="59"/>
              <w:rPr>
                <w:rFonts w:ascii="Calibri" w:eastAsia="Arial Unicode MS" w:hAnsi="Arial Unicode MS" w:cs="Arial Unicode MS"/>
                <w:color w:val="000000"/>
                <w:u w:color="000000"/>
                <w:bdr w:val="nil"/>
              </w:rPr>
            </w:pPr>
            <w:r w:rsidRPr="00EB33FE">
              <w:rPr>
                <w:rFonts w:ascii="MS Gothic" w:eastAsia="MS Gothic" w:hAnsi="MS Gothic" w:cs="MS Gothic" w:hint="eastAsia"/>
                <w:color w:val="000000"/>
                <w:u w:color="000000"/>
                <w:bdr w:val="nil"/>
              </w:rPr>
              <w:t>☒</w:t>
            </w:r>
            <w:r w:rsidRPr="00EB33FE">
              <w:rPr>
                <w:rFonts w:ascii="Calibri" w:eastAsia="Arial Unicode MS" w:hAnsi="Calibri" w:cs="Arial Unicode MS"/>
                <w:color w:val="000000"/>
                <w:u w:color="000000"/>
                <w:bdr w:val="nil"/>
              </w:rPr>
              <w:t xml:space="preserve">  </w:t>
            </w:r>
            <w:r w:rsidRPr="00EB33FE">
              <w:rPr>
                <w:rFonts w:ascii="Calibri" w:eastAsia="Arial Unicode MS" w:hAnsi="Arial Unicode MS" w:cs="Arial Unicode MS"/>
                <w:color w:val="000000"/>
                <w:u w:color="000000"/>
                <w:bdr w:val="nil"/>
              </w:rPr>
              <w:t xml:space="preserve">Linda </w:t>
            </w:r>
            <w:proofErr w:type="spellStart"/>
            <w:r w:rsidRPr="00EB33FE">
              <w:rPr>
                <w:rFonts w:ascii="Calibri" w:eastAsia="Arial Unicode MS" w:hAnsi="Arial Unicode MS" w:cs="Arial Unicode MS"/>
                <w:color w:val="000000"/>
                <w:u w:color="000000"/>
                <w:bdr w:val="nil"/>
              </w:rPr>
              <w:t>Treiber</w:t>
            </w:r>
            <w:proofErr w:type="spellEnd"/>
            <w:r w:rsidRPr="00EB33FE">
              <w:rPr>
                <w:rFonts w:ascii="Calibri" w:eastAsia="Arial Unicode MS" w:hAnsi="Arial Unicode MS" w:cs="Arial Unicode MS"/>
                <w:color w:val="000000"/>
                <w:u w:color="000000"/>
                <w:bdr w:val="nil"/>
              </w:rPr>
              <w:t xml:space="preserve"> (SOC/CJ)</w:t>
            </w:r>
          </w:p>
        </w:tc>
      </w:tr>
      <w:tr w:rsidR="00EB33FE" w:rsidRPr="00EB33FE" w:rsidTr="008F4F81">
        <w:trPr>
          <w:trHeight w:val="260"/>
        </w:trPr>
        <w:tc>
          <w:tcPr>
            <w:tcW w:w="3415" w:type="dxa"/>
            <w:tcBorders>
              <w:top w:val="nil"/>
              <w:left w:val="nil"/>
              <w:bottom w:val="nil"/>
              <w:right w:val="nil"/>
            </w:tcBorders>
            <w:shd w:val="clear" w:color="auto" w:fill="auto"/>
            <w:tcMar>
              <w:top w:w="80" w:type="dxa"/>
              <w:left w:w="80" w:type="dxa"/>
              <w:bottom w:w="80" w:type="dxa"/>
              <w:right w:w="139" w:type="dxa"/>
            </w:tcMar>
          </w:tcPr>
          <w:p w:rsidR="00EB33FE" w:rsidRPr="00EB33FE" w:rsidRDefault="00EB33FE" w:rsidP="00EB33FE">
            <w:pPr>
              <w:pBdr>
                <w:top w:val="nil"/>
                <w:left w:val="nil"/>
                <w:bottom w:val="nil"/>
                <w:right w:val="nil"/>
                <w:between w:val="nil"/>
                <w:bar w:val="nil"/>
              </w:pBdr>
              <w:spacing w:after="0" w:line="240" w:lineRule="auto"/>
              <w:ind w:right="59"/>
              <w:rPr>
                <w:rFonts w:ascii="Calibri" w:eastAsia="Arial Unicode MS" w:hAnsi="Arial Unicode MS" w:cs="Arial Unicode MS"/>
                <w:color w:val="000000"/>
                <w:u w:color="000000"/>
                <w:bdr w:val="nil"/>
              </w:rPr>
            </w:pPr>
            <w:r w:rsidRPr="00EB33FE">
              <w:rPr>
                <w:rFonts w:ascii="MS Gothic" w:eastAsia="MS Gothic" w:hAnsi="MS Gothic" w:cs="MS Gothic" w:hint="eastAsia"/>
                <w:color w:val="000000"/>
                <w:u w:color="000000"/>
                <w:bdr w:val="nil"/>
              </w:rPr>
              <w:t>☒</w:t>
            </w:r>
            <w:r w:rsidRPr="00EB33FE">
              <w:rPr>
                <w:rFonts w:ascii="Calibri" w:eastAsia="Arial Unicode MS" w:hAnsi="Calibri" w:cs="Arial Unicode MS"/>
                <w:color w:val="000000"/>
                <w:u w:color="000000"/>
                <w:bdr w:val="nil"/>
              </w:rPr>
              <w:t xml:space="preserve">  </w:t>
            </w:r>
            <w:r w:rsidRPr="00EB33FE">
              <w:rPr>
                <w:rFonts w:ascii="Calibri" w:eastAsia="Arial Unicode MS" w:hAnsi="Arial Unicode MS" w:cs="Arial Unicode MS"/>
                <w:color w:val="000000"/>
                <w:u w:color="000000"/>
                <w:bdr w:val="nil"/>
              </w:rPr>
              <w:t>Rebecca Hill (ISD)</w:t>
            </w:r>
          </w:p>
        </w:tc>
        <w:tc>
          <w:tcPr>
            <w:tcW w:w="3830" w:type="dxa"/>
            <w:tcBorders>
              <w:top w:val="nil"/>
              <w:left w:val="nil"/>
              <w:bottom w:val="nil"/>
              <w:right w:val="nil"/>
            </w:tcBorders>
            <w:shd w:val="clear" w:color="auto" w:fill="auto"/>
            <w:tcMar>
              <w:top w:w="80" w:type="dxa"/>
              <w:left w:w="80" w:type="dxa"/>
              <w:bottom w:w="80" w:type="dxa"/>
              <w:right w:w="139" w:type="dxa"/>
            </w:tcMar>
          </w:tcPr>
          <w:p w:rsidR="00EB33FE" w:rsidRPr="00EB33FE" w:rsidRDefault="00EB33FE" w:rsidP="00EB33FE">
            <w:pPr>
              <w:pBdr>
                <w:top w:val="nil"/>
                <w:left w:val="nil"/>
                <w:bottom w:val="nil"/>
                <w:right w:val="nil"/>
                <w:between w:val="nil"/>
                <w:bar w:val="nil"/>
              </w:pBdr>
              <w:spacing w:after="0" w:line="240" w:lineRule="auto"/>
              <w:ind w:right="59"/>
              <w:rPr>
                <w:rFonts w:ascii="Calibri" w:eastAsia="Arial Unicode MS" w:hAnsi="Arial Unicode MS" w:cs="Arial Unicode MS"/>
                <w:color w:val="000000"/>
                <w:u w:color="000000"/>
                <w:bdr w:val="nil"/>
              </w:rPr>
            </w:pPr>
            <w:r w:rsidRPr="00EB33FE">
              <w:rPr>
                <w:rFonts w:ascii="MS Gothic" w:eastAsia="MS Gothic" w:hAnsi="MS Gothic" w:cs="MS Gothic" w:hint="eastAsia"/>
                <w:color w:val="000000"/>
                <w:u w:color="000000"/>
                <w:bdr w:val="nil"/>
              </w:rPr>
              <w:t>☒</w:t>
            </w:r>
            <w:r w:rsidRPr="00EB33FE">
              <w:rPr>
                <w:rFonts w:ascii="Calibri" w:eastAsia="Arial Unicode MS" w:hAnsi="Arial Unicode MS" w:cs="Arial Unicode MS"/>
                <w:color w:val="000000"/>
                <w:u w:color="000000"/>
                <w:bdr w:val="nil"/>
              </w:rPr>
              <w:t xml:space="preserve">  Matthew </w:t>
            </w:r>
            <w:proofErr w:type="spellStart"/>
            <w:r w:rsidRPr="00EB33FE">
              <w:rPr>
                <w:rFonts w:ascii="Calibri" w:eastAsia="Arial Unicode MS" w:hAnsi="Arial Unicode MS" w:cs="Arial Unicode MS"/>
                <w:color w:val="000000"/>
                <w:u w:color="000000"/>
                <w:bdr w:val="nil"/>
              </w:rPr>
              <w:t>Mitchelson</w:t>
            </w:r>
            <w:proofErr w:type="spellEnd"/>
            <w:r w:rsidRPr="00EB33FE">
              <w:rPr>
                <w:rFonts w:ascii="Calibri" w:eastAsia="Arial Unicode MS" w:hAnsi="Arial Unicode MS" w:cs="Arial Unicode MS"/>
                <w:color w:val="000000"/>
                <w:u w:color="000000"/>
                <w:bdr w:val="nil"/>
              </w:rPr>
              <w:t xml:space="preserve"> (GEOG/ANTH)</w:t>
            </w:r>
          </w:p>
        </w:tc>
        <w:tc>
          <w:tcPr>
            <w:tcW w:w="3005" w:type="dxa"/>
            <w:tcBorders>
              <w:top w:val="nil"/>
              <w:left w:val="nil"/>
              <w:bottom w:val="nil"/>
              <w:right w:val="nil"/>
            </w:tcBorders>
            <w:shd w:val="clear" w:color="auto" w:fill="auto"/>
            <w:tcMar>
              <w:top w:w="80" w:type="dxa"/>
              <w:left w:w="80" w:type="dxa"/>
              <w:bottom w:w="80" w:type="dxa"/>
              <w:right w:w="80" w:type="dxa"/>
            </w:tcMar>
          </w:tcPr>
          <w:p w:rsidR="00EB33FE" w:rsidRPr="00EB33FE" w:rsidRDefault="00EB33FE" w:rsidP="00EB33F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r>
      <w:tr w:rsidR="00EB33FE" w:rsidRPr="00EB33FE" w:rsidTr="008F4F81">
        <w:trPr>
          <w:trHeight w:val="260"/>
        </w:trPr>
        <w:tc>
          <w:tcPr>
            <w:tcW w:w="3415" w:type="dxa"/>
            <w:tcBorders>
              <w:top w:val="nil"/>
              <w:left w:val="nil"/>
              <w:bottom w:val="nil"/>
              <w:right w:val="nil"/>
            </w:tcBorders>
            <w:shd w:val="clear" w:color="auto" w:fill="auto"/>
            <w:tcMar>
              <w:top w:w="80" w:type="dxa"/>
              <w:left w:w="80" w:type="dxa"/>
              <w:bottom w:w="80" w:type="dxa"/>
              <w:right w:w="139" w:type="dxa"/>
            </w:tcMar>
          </w:tcPr>
          <w:p w:rsidR="00EB33FE" w:rsidRPr="00EB33FE" w:rsidRDefault="00EB33FE" w:rsidP="00EB33FE">
            <w:pPr>
              <w:pBdr>
                <w:top w:val="nil"/>
                <w:left w:val="nil"/>
                <w:bottom w:val="nil"/>
                <w:right w:val="nil"/>
                <w:between w:val="nil"/>
                <w:bar w:val="nil"/>
              </w:pBdr>
              <w:spacing w:after="0" w:line="240" w:lineRule="auto"/>
              <w:ind w:right="59"/>
              <w:rPr>
                <w:rFonts w:ascii="Calibri" w:eastAsia="Arial Unicode MS" w:hAnsi="Arial Unicode MS" w:cs="Arial Unicode MS"/>
                <w:color w:val="000000"/>
                <w:u w:color="000000"/>
                <w:bdr w:val="nil"/>
              </w:rPr>
            </w:pPr>
            <w:r w:rsidRPr="00EB33FE">
              <w:rPr>
                <w:rFonts w:ascii="MS Gothic" w:eastAsia="MS Gothic" w:hAnsi="MS Gothic" w:cs="MS Gothic" w:hint="eastAsia"/>
                <w:color w:val="000000"/>
                <w:u w:color="000000"/>
                <w:bdr w:val="nil"/>
              </w:rPr>
              <w:t>☒</w:t>
            </w:r>
            <w:r w:rsidRPr="00EB33FE">
              <w:rPr>
                <w:rFonts w:ascii="Calibri" w:eastAsia="Arial Unicode MS" w:hAnsi="Calibri" w:cs="Arial Unicode MS"/>
                <w:color w:val="000000"/>
                <w:u w:color="000000"/>
                <w:bdr w:val="nil"/>
              </w:rPr>
              <w:t xml:space="preserve">  </w:t>
            </w:r>
            <w:r w:rsidRPr="00EB33FE">
              <w:rPr>
                <w:rFonts w:ascii="Calibri" w:eastAsia="Arial Unicode MS" w:hAnsi="Arial Unicode MS" w:cs="Arial Unicode MS"/>
                <w:color w:val="000000"/>
                <w:u w:color="000000"/>
                <w:bdr w:val="nil"/>
              </w:rPr>
              <w:t>Pauline Howes (COMM)</w:t>
            </w:r>
          </w:p>
        </w:tc>
        <w:tc>
          <w:tcPr>
            <w:tcW w:w="3830" w:type="dxa"/>
            <w:tcBorders>
              <w:top w:val="nil"/>
              <w:left w:val="nil"/>
              <w:bottom w:val="nil"/>
              <w:right w:val="nil"/>
            </w:tcBorders>
            <w:shd w:val="clear" w:color="auto" w:fill="auto"/>
            <w:tcMar>
              <w:top w:w="80" w:type="dxa"/>
              <w:left w:w="80" w:type="dxa"/>
              <w:bottom w:w="80" w:type="dxa"/>
              <w:right w:w="139" w:type="dxa"/>
            </w:tcMar>
          </w:tcPr>
          <w:p w:rsidR="00EB33FE" w:rsidRPr="00EB33FE" w:rsidRDefault="00EB33FE" w:rsidP="00EB33FE">
            <w:pPr>
              <w:pBdr>
                <w:top w:val="nil"/>
                <w:left w:val="nil"/>
                <w:bottom w:val="nil"/>
                <w:right w:val="nil"/>
                <w:between w:val="nil"/>
                <w:bar w:val="nil"/>
              </w:pBdr>
              <w:spacing w:after="0" w:line="240" w:lineRule="auto"/>
              <w:ind w:right="59"/>
              <w:rPr>
                <w:rFonts w:ascii="Calibri" w:eastAsia="Arial Unicode MS" w:hAnsi="Arial Unicode MS" w:cs="Arial Unicode MS"/>
                <w:color w:val="000000"/>
                <w:u w:color="000000"/>
                <w:bdr w:val="nil"/>
              </w:rPr>
            </w:pPr>
            <w:r w:rsidRPr="00EB33FE">
              <w:rPr>
                <w:rFonts w:ascii="MS Gothic" w:eastAsia="MS Gothic" w:hAnsi="MS Gothic" w:cs="MS Gothic" w:hint="eastAsia"/>
                <w:color w:val="000000"/>
                <w:u w:color="000000"/>
                <w:bdr w:val="nil"/>
              </w:rPr>
              <w:t>☒</w:t>
            </w:r>
            <w:r w:rsidRPr="00EB33FE">
              <w:rPr>
                <w:rFonts w:ascii="Calibri" w:eastAsia="Arial Unicode MS" w:hAnsi="Arial Unicode MS" w:cs="Arial Unicode MS"/>
                <w:color w:val="000000"/>
                <w:u w:color="000000"/>
                <w:bdr w:val="nil"/>
              </w:rPr>
              <w:t xml:space="preserve"> Christopher Randall (PSYC)</w:t>
            </w:r>
          </w:p>
        </w:tc>
        <w:tc>
          <w:tcPr>
            <w:tcW w:w="3005" w:type="dxa"/>
            <w:tcBorders>
              <w:top w:val="nil"/>
              <w:left w:val="nil"/>
              <w:bottom w:val="nil"/>
              <w:right w:val="nil"/>
            </w:tcBorders>
            <w:shd w:val="clear" w:color="auto" w:fill="auto"/>
            <w:tcMar>
              <w:top w:w="80" w:type="dxa"/>
              <w:left w:w="80" w:type="dxa"/>
              <w:bottom w:w="80" w:type="dxa"/>
              <w:right w:w="80" w:type="dxa"/>
            </w:tcMar>
          </w:tcPr>
          <w:p w:rsidR="00EB33FE" w:rsidRPr="00EB33FE" w:rsidRDefault="00EB33FE" w:rsidP="00EB33F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r>
      <w:tr w:rsidR="00EB33FE" w:rsidRPr="00EB33FE" w:rsidTr="008F4F81">
        <w:trPr>
          <w:trHeight w:val="260"/>
        </w:trPr>
        <w:tc>
          <w:tcPr>
            <w:tcW w:w="3415" w:type="dxa"/>
            <w:tcBorders>
              <w:top w:val="nil"/>
              <w:left w:val="nil"/>
              <w:bottom w:val="nil"/>
              <w:right w:val="nil"/>
            </w:tcBorders>
            <w:shd w:val="clear" w:color="auto" w:fill="auto"/>
            <w:tcMar>
              <w:top w:w="80" w:type="dxa"/>
              <w:left w:w="80" w:type="dxa"/>
              <w:bottom w:w="80" w:type="dxa"/>
              <w:right w:w="139" w:type="dxa"/>
            </w:tcMar>
          </w:tcPr>
          <w:p w:rsidR="00EB33FE" w:rsidRPr="00EB33FE" w:rsidRDefault="00EB33FE" w:rsidP="00EB33FE">
            <w:pPr>
              <w:pBdr>
                <w:top w:val="nil"/>
                <w:left w:val="nil"/>
                <w:bottom w:val="nil"/>
                <w:right w:val="nil"/>
                <w:between w:val="nil"/>
                <w:bar w:val="nil"/>
              </w:pBdr>
              <w:spacing w:after="0" w:line="240" w:lineRule="auto"/>
              <w:ind w:right="59"/>
              <w:rPr>
                <w:rFonts w:ascii="Calibri" w:eastAsia="Arial Unicode MS" w:hAnsi="Arial Unicode MS" w:cs="Arial Unicode MS"/>
                <w:color w:val="000000"/>
                <w:u w:color="000000"/>
                <w:bdr w:val="nil"/>
              </w:rPr>
            </w:pPr>
            <w:r w:rsidRPr="00EB33FE">
              <w:rPr>
                <w:rFonts w:ascii="Calibri" w:eastAsia="Arial Unicode MS" w:hAnsi="Arial Unicode MS" w:cs="Arial Unicode MS"/>
                <w:color w:val="000000"/>
                <w:u w:color="000000"/>
                <w:bdr w:val="nil"/>
              </w:rPr>
              <w:t xml:space="preserve"> </w:t>
            </w:r>
            <w:sdt>
              <w:sdtPr>
                <w:rPr>
                  <w:rFonts w:ascii="Calibri" w:eastAsia="Arial Unicode MS" w:hAnsi="Arial Unicode MS" w:cs="Arial Unicode MS"/>
                  <w:color w:val="000000"/>
                  <w:u w:color="000000"/>
                  <w:bdr w:val="nil"/>
                </w:rPr>
                <w:id w:val="67232543"/>
                <w14:checkbox>
                  <w14:checked w14:val="1"/>
                  <w14:checkedState w14:val="2612" w14:font="Arial Unicode MS"/>
                  <w14:uncheckedState w14:val="2610" w14:font="Arial Unicode MS"/>
                </w14:checkbox>
              </w:sdtPr>
              <w:sdtEndPr/>
              <w:sdtContent>
                <w:r w:rsidRPr="00EB33FE">
                  <w:rPr>
                    <w:rFonts w:ascii="Calibri" w:eastAsia="Arial Unicode MS" w:hAnsi="Arial Unicode MS" w:cs="Arial Unicode MS" w:hint="eastAsia"/>
                    <w:color w:val="000000"/>
                    <w:u w:color="000000"/>
                    <w:bdr w:val="nil"/>
                  </w:rPr>
                  <w:t>☒</w:t>
                </w:r>
              </w:sdtContent>
            </w:sdt>
            <w:r w:rsidRPr="00EB33FE">
              <w:rPr>
                <w:rFonts w:ascii="Calibri" w:eastAsia="Arial Unicode MS" w:hAnsi="Calibri" w:cs="Arial Unicode MS"/>
                <w:color w:val="000000"/>
                <w:u w:color="000000"/>
                <w:bdr w:val="nil"/>
              </w:rPr>
              <w:t xml:space="preserve"> </w:t>
            </w:r>
            <w:r w:rsidRPr="00EB33FE">
              <w:rPr>
                <w:rFonts w:ascii="Calibri" w:eastAsia="Arial Unicode MS" w:hAnsi="Arial Unicode MS" w:cs="Arial Unicode MS"/>
                <w:color w:val="000000"/>
                <w:u w:color="000000"/>
                <w:bdr w:val="nil"/>
              </w:rPr>
              <w:t xml:space="preserve">Michael </w:t>
            </w:r>
            <w:proofErr w:type="spellStart"/>
            <w:r w:rsidRPr="00EB33FE">
              <w:rPr>
                <w:rFonts w:ascii="Calibri" w:eastAsia="Arial Unicode MS" w:hAnsi="Arial Unicode MS" w:cs="Arial Unicode MS"/>
                <w:color w:val="000000"/>
                <w:u w:color="000000"/>
                <w:bdr w:val="nil"/>
              </w:rPr>
              <w:t>Lahey</w:t>
            </w:r>
            <w:proofErr w:type="spellEnd"/>
            <w:r w:rsidRPr="00EB33FE">
              <w:rPr>
                <w:rFonts w:ascii="Calibri" w:eastAsia="Arial Unicode MS" w:hAnsi="Arial Unicode MS" w:cs="Arial Unicode MS"/>
                <w:color w:val="000000"/>
                <w:u w:color="000000"/>
                <w:bdr w:val="nil"/>
              </w:rPr>
              <w:t xml:space="preserve"> (</w:t>
            </w:r>
            <w:smartTag w:uri="urn:schemas-microsoft-com:office:smarttags" w:element="stockticker">
              <w:r w:rsidRPr="00EB33FE">
                <w:rPr>
                  <w:rFonts w:ascii="Calibri" w:eastAsia="Arial Unicode MS" w:hAnsi="Arial Unicode MS" w:cs="Arial Unicode MS"/>
                  <w:color w:val="000000"/>
                  <w:u w:color="000000"/>
                  <w:bdr w:val="nil"/>
                </w:rPr>
                <w:t>DWMA</w:t>
              </w:r>
            </w:smartTag>
            <w:r w:rsidRPr="00EB33FE">
              <w:rPr>
                <w:rFonts w:ascii="Calibri" w:eastAsia="Arial Unicode MS" w:hAnsi="Arial Unicode MS" w:cs="Arial Unicode MS"/>
                <w:color w:val="000000"/>
                <w:u w:color="000000"/>
                <w:bdr w:val="nil"/>
              </w:rPr>
              <w:t>)</w:t>
            </w:r>
          </w:p>
        </w:tc>
        <w:tc>
          <w:tcPr>
            <w:tcW w:w="3830" w:type="dxa"/>
            <w:tcBorders>
              <w:top w:val="nil"/>
              <w:left w:val="nil"/>
              <w:bottom w:val="nil"/>
              <w:right w:val="nil"/>
            </w:tcBorders>
            <w:shd w:val="clear" w:color="auto" w:fill="auto"/>
            <w:tcMar>
              <w:top w:w="80" w:type="dxa"/>
              <w:left w:w="80" w:type="dxa"/>
              <w:bottom w:w="80" w:type="dxa"/>
              <w:right w:w="139" w:type="dxa"/>
            </w:tcMar>
          </w:tcPr>
          <w:p w:rsidR="00EB33FE" w:rsidRPr="00EB33FE" w:rsidRDefault="006E6A54" w:rsidP="00EB33FE">
            <w:pPr>
              <w:pBdr>
                <w:top w:val="nil"/>
                <w:left w:val="nil"/>
                <w:bottom w:val="nil"/>
                <w:right w:val="nil"/>
                <w:between w:val="nil"/>
                <w:bar w:val="nil"/>
              </w:pBdr>
              <w:spacing w:after="0" w:line="240" w:lineRule="auto"/>
              <w:ind w:right="59"/>
              <w:rPr>
                <w:rFonts w:ascii="Calibri" w:eastAsia="Arial Unicode MS" w:hAnsi="Arial Unicode MS" w:cs="Arial Unicode MS"/>
                <w:color w:val="000000"/>
                <w:u w:color="000000"/>
                <w:bdr w:val="nil"/>
              </w:rPr>
            </w:pPr>
            <w:sdt>
              <w:sdtPr>
                <w:rPr>
                  <w:rFonts w:ascii="Calibri" w:eastAsia="Arial Unicode MS" w:hAnsi="Arial Unicode MS" w:cs="Arial Unicode MS"/>
                  <w:color w:val="000000"/>
                  <w:u w:color="000000"/>
                  <w:bdr w:val="nil"/>
                </w:rPr>
                <w:id w:val="-475689659"/>
                <w14:checkbox>
                  <w14:checked w14:val="1"/>
                  <w14:checkedState w14:val="2612" w14:font="Arial Unicode MS"/>
                  <w14:uncheckedState w14:val="2610" w14:font="Arial Unicode MS"/>
                </w14:checkbox>
              </w:sdtPr>
              <w:sdtEndPr/>
              <w:sdtContent>
                <w:r w:rsidR="00EB33FE">
                  <w:rPr>
                    <w:rFonts w:ascii="Arial Unicode MS" w:eastAsia="Arial Unicode MS" w:hAnsi="Arial Unicode MS" w:cs="Arial Unicode MS" w:hint="eastAsia"/>
                    <w:color w:val="000000"/>
                    <w:u w:color="000000"/>
                    <w:bdr w:val="nil"/>
                  </w:rPr>
                  <w:t>☒</w:t>
                </w:r>
              </w:sdtContent>
            </w:sdt>
            <w:r w:rsidR="00EB33FE" w:rsidRPr="00EB33FE">
              <w:rPr>
                <w:rFonts w:ascii="Calibri" w:eastAsia="Arial Unicode MS" w:hAnsi="Arial Unicode MS" w:cs="Arial Unicode MS"/>
                <w:color w:val="000000"/>
                <w:u w:color="000000"/>
                <w:bdr w:val="nil"/>
              </w:rPr>
              <w:t xml:space="preserve"> Ashley Sheldon (ENGL)</w:t>
            </w:r>
          </w:p>
        </w:tc>
        <w:tc>
          <w:tcPr>
            <w:tcW w:w="3005" w:type="dxa"/>
            <w:tcBorders>
              <w:top w:val="nil"/>
              <w:left w:val="nil"/>
              <w:bottom w:val="nil"/>
              <w:right w:val="nil"/>
            </w:tcBorders>
            <w:shd w:val="clear" w:color="auto" w:fill="auto"/>
            <w:tcMar>
              <w:top w:w="80" w:type="dxa"/>
              <w:left w:w="80" w:type="dxa"/>
              <w:bottom w:w="80" w:type="dxa"/>
              <w:right w:w="139" w:type="dxa"/>
            </w:tcMar>
          </w:tcPr>
          <w:p w:rsidR="00EB33FE" w:rsidRPr="00EB33FE" w:rsidRDefault="00EB33FE" w:rsidP="00EB33F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r>
      <w:tr w:rsidR="00EB33FE" w:rsidRPr="00EB33FE" w:rsidTr="008F4F81">
        <w:trPr>
          <w:trHeight w:val="260"/>
        </w:trPr>
        <w:tc>
          <w:tcPr>
            <w:tcW w:w="3415" w:type="dxa"/>
            <w:tcBorders>
              <w:top w:val="nil"/>
              <w:left w:val="nil"/>
              <w:bottom w:val="nil"/>
              <w:right w:val="nil"/>
            </w:tcBorders>
            <w:shd w:val="clear" w:color="auto" w:fill="auto"/>
            <w:tcMar>
              <w:top w:w="80" w:type="dxa"/>
              <w:left w:w="80" w:type="dxa"/>
              <w:bottom w:w="80" w:type="dxa"/>
              <w:right w:w="139" w:type="dxa"/>
            </w:tcMar>
          </w:tcPr>
          <w:p w:rsidR="00EB33FE" w:rsidRPr="00EB33FE" w:rsidRDefault="00EB33FE" w:rsidP="00EB33FE">
            <w:pPr>
              <w:pBdr>
                <w:top w:val="nil"/>
                <w:left w:val="nil"/>
                <w:bottom w:val="nil"/>
                <w:right w:val="nil"/>
                <w:between w:val="nil"/>
                <w:bar w:val="nil"/>
              </w:pBdr>
              <w:spacing w:after="0" w:line="240" w:lineRule="auto"/>
              <w:ind w:right="59"/>
              <w:rPr>
                <w:rFonts w:ascii="Calibri" w:eastAsia="Arial Unicode MS" w:hAnsi="Arial Unicode MS" w:cs="Arial Unicode MS"/>
                <w:color w:val="000000"/>
                <w:u w:color="000000"/>
                <w:bdr w:val="nil"/>
              </w:rPr>
            </w:pPr>
            <w:r w:rsidRPr="00EB33FE">
              <w:rPr>
                <w:rFonts w:ascii="MS Gothic" w:eastAsia="MS Gothic" w:hAnsi="MS Gothic" w:cs="MS Gothic" w:hint="eastAsia"/>
                <w:color w:val="000000"/>
                <w:u w:color="000000"/>
                <w:bdr w:val="nil"/>
              </w:rPr>
              <w:t>☒</w:t>
            </w:r>
            <w:r w:rsidRPr="00EB33FE">
              <w:rPr>
                <w:rFonts w:ascii="Calibri" w:eastAsia="Arial Unicode MS" w:hAnsi="Calibri" w:cs="Arial Unicode MS"/>
                <w:color w:val="000000"/>
                <w:u w:color="000000"/>
                <w:bdr w:val="nil"/>
              </w:rPr>
              <w:t xml:space="preserve">  </w:t>
            </w:r>
            <w:proofErr w:type="spellStart"/>
            <w:r w:rsidRPr="00EB33FE">
              <w:rPr>
                <w:rFonts w:ascii="Calibri" w:eastAsia="Arial Unicode MS" w:hAnsi="Arial Unicode MS" w:cs="Arial Unicode MS"/>
                <w:color w:val="000000"/>
                <w:u w:color="000000"/>
                <w:bdr w:val="nil"/>
              </w:rPr>
              <w:t>Jeongyi</w:t>
            </w:r>
            <w:proofErr w:type="spellEnd"/>
            <w:r w:rsidRPr="00EB33FE">
              <w:rPr>
                <w:rFonts w:ascii="Calibri" w:eastAsia="Arial Unicode MS" w:hAnsi="Arial Unicode MS" w:cs="Arial Unicode MS"/>
                <w:color w:val="000000"/>
                <w:u w:color="000000"/>
                <w:bdr w:val="nil"/>
              </w:rPr>
              <w:t xml:space="preserve"> Lee (FL)</w:t>
            </w:r>
          </w:p>
        </w:tc>
        <w:tc>
          <w:tcPr>
            <w:tcW w:w="3830" w:type="dxa"/>
            <w:tcBorders>
              <w:top w:val="nil"/>
              <w:left w:val="nil"/>
              <w:bottom w:val="nil"/>
              <w:right w:val="nil"/>
            </w:tcBorders>
            <w:shd w:val="clear" w:color="auto" w:fill="auto"/>
            <w:tcMar>
              <w:top w:w="80" w:type="dxa"/>
              <w:left w:w="80" w:type="dxa"/>
              <w:bottom w:w="80" w:type="dxa"/>
              <w:right w:w="139" w:type="dxa"/>
            </w:tcMar>
          </w:tcPr>
          <w:p w:rsidR="00EB33FE" w:rsidRPr="00EB33FE" w:rsidRDefault="00EB33FE" w:rsidP="00EB33FE">
            <w:pPr>
              <w:pBdr>
                <w:top w:val="nil"/>
                <w:left w:val="nil"/>
                <w:bottom w:val="nil"/>
                <w:right w:val="nil"/>
                <w:between w:val="nil"/>
                <w:bar w:val="nil"/>
              </w:pBdr>
              <w:spacing w:after="0" w:line="240" w:lineRule="auto"/>
              <w:ind w:right="59"/>
              <w:rPr>
                <w:rFonts w:ascii="Calibri" w:eastAsia="Arial Unicode MS" w:hAnsi="Arial Unicode MS" w:cs="Arial Unicode MS"/>
                <w:color w:val="000000"/>
                <w:u w:color="000000"/>
                <w:bdr w:val="nil"/>
              </w:rPr>
            </w:pPr>
            <w:r w:rsidRPr="00EB33FE">
              <w:rPr>
                <w:rFonts w:ascii="MS Gothic" w:eastAsia="MS Gothic" w:hAnsi="MS Gothic" w:cs="MS Gothic" w:hint="eastAsia"/>
                <w:color w:val="000000"/>
                <w:u w:color="000000"/>
                <w:bdr w:val="nil"/>
              </w:rPr>
              <w:t>☒</w:t>
            </w:r>
            <w:r w:rsidRPr="00EB33FE">
              <w:rPr>
                <w:rFonts w:ascii="Calibri" w:eastAsia="Arial Unicode MS" w:hAnsi="Calibri" w:cs="Arial Unicode MS"/>
                <w:color w:val="000000"/>
                <w:u w:color="000000"/>
                <w:bdr w:val="nil"/>
              </w:rPr>
              <w:t xml:space="preserve">  </w:t>
            </w:r>
            <w:r w:rsidRPr="00EB33FE">
              <w:rPr>
                <w:rFonts w:ascii="Calibri" w:eastAsia="Arial Unicode MS" w:hAnsi="Arial Unicode MS" w:cs="Arial Unicode MS"/>
                <w:color w:val="000000"/>
                <w:u w:color="000000"/>
                <w:bdr w:val="nil"/>
              </w:rPr>
              <w:t>David Shock (POLS/IA)</w:t>
            </w:r>
          </w:p>
        </w:tc>
        <w:tc>
          <w:tcPr>
            <w:tcW w:w="3005" w:type="dxa"/>
            <w:tcBorders>
              <w:top w:val="nil"/>
              <w:left w:val="nil"/>
              <w:bottom w:val="nil"/>
              <w:right w:val="nil"/>
            </w:tcBorders>
            <w:shd w:val="clear" w:color="auto" w:fill="auto"/>
            <w:tcMar>
              <w:top w:w="80" w:type="dxa"/>
              <w:left w:w="80" w:type="dxa"/>
              <w:bottom w:w="80" w:type="dxa"/>
              <w:right w:w="139" w:type="dxa"/>
            </w:tcMar>
          </w:tcPr>
          <w:p w:rsidR="00EB33FE" w:rsidRPr="00EB33FE" w:rsidRDefault="00EB33FE" w:rsidP="00EB33F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r>
    </w:tbl>
    <w:p w:rsidR="00EB33FE" w:rsidRPr="00EB33FE" w:rsidRDefault="00EB33FE" w:rsidP="00EB33FE">
      <w:pPr>
        <w:pBdr>
          <w:top w:val="nil"/>
          <w:left w:val="nil"/>
          <w:bottom w:val="nil"/>
          <w:right w:val="nil"/>
          <w:between w:val="nil"/>
          <w:bar w:val="nil"/>
        </w:pBdr>
        <w:tabs>
          <w:tab w:val="left" w:pos="2812"/>
        </w:tabs>
        <w:spacing w:after="0" w:line="240" w:lineRule="auto"/>
        <w:ind w:right="59"/>
        <w:rPr>
          <w:rFonts w:ascii="Calibri" w:eastAsia="Arial Unicode MS" w:hAnsi="Arial Unicode MS" w:cs="Arial Unicode MS"/>
          <w:color w:val="000000"/>
          <w:u w:color="000000"/>
          <w:bdr w:val="nil"/>
        </w:rPr>
      </w:pPr>
    </w:p>
    <w:p w:rsidR="00EB33FE" w:rsidRPr="00EB33FE" w:rsidRDefault="00EB33FE" w:rsidP="00EB33FE">
      <w:pPr>
        <w:pBdr>
          <w:top w:val="nil"/>
          <w:left w:val="nil"/>
          <w:bottom w:val="nil"/>
          <w:right w:val="nil"/>
          <w:between w:val="nil"/>
          <w:bar w:val="nil"/>
        </w:pBdr>
        <w:tabs>
          <w:tab w:val="left" w:pos="2812"/>
        </w:tabs>
        <w:spacing w:after="0" w:line="240" w:lineRule="auto"/>
        <w:ind w:right="59"/>
        <w:rPr>
          <w:rFonts w:ascii="Calibri" w:eastAsia="Arial Unicode MS" w:hAnsi="Arial Unicode MS" w:cs="Arial Unicode MS"/>
          <w:color w:val="292B2F"/>
          <w:u w:color="292B2F"/>
          <w:bdr w:val="nil"/>
        </w:rPr>
      </w:pPr>
      <w:r w:rsidRPr="00EB33FE">
        <w:rPr>
          <w:rFonts w:ascii="Calibri" w:eastAsia="Arial Unicode MS" w:hAnsi="Arial Unicode MS" w:cs="Arial Unicode MS"/>
          <w:b/>
          <w:bCs/>
          <w:color w:val="292B2F"/>
          <w:u w:color="292B2F"/>
          <w:bdr w:val="nil"/>
          <w:lang w:val="it-IT"/>
        </w:rPr>
        <w:t>Guest</w:t>
      </w:r>
      <w:r w:rsidRPr="00EB33FE">
        <w:rPr>
          <w:rFonts w:ascii="Calibri" w:eastAsia="Arial Unicode MS" w:hAnsi="Arial Unicode MS" w:cs="Arial Unicode MS"/>
          <w:b/>
          <w:bCs/>
          <w:color w:val="292B2F"/>
          <w:u w:color="292B2F"/>
          <w:bdr w:val="nil"/>
        </w:rPr>
        <w:t>s:</w:t>
      </w:r>
      <w:r w:rsidRPr="00EB33FE">
        <w:rPr>
          <w:rFonts w:ascii="Calibri" w:eastAsia="Arial Unicode MS" w:hAnsi="Arial Unicode MS" w:cs="Arial Unicode MS"/>
          <w:color w:val="292B2F"/>
          <w:u w:color="292B2F"/>
          <w:bdr w:val="nil"/>
        </w:rPr>
        <w:t xml:space="preserve">  </w:t>
      </w:r>
      <w:r>
        <w:rPr>
          <w:rFonts w:ascii="Calibri" w:eastAsia="Arial Unicode MS" w:hAnsi="Arial Unicode MS" w:cs="Arial Unicode MS"/>
          <w:color w:val="292B2F"/>
          <w:u w:color="292B2F"/>
          <w:bdr w:val="nil"/>
        </w:rPr>
        <w:t>Jack Moran (POLS), Brandon Lundy (INCM), Buddy Mayo (SCOM), Barbara Gainey (SCOM), Deanna Womack (SCOM), Erin Ryan (SCOM)</w:t>
      </w:r>
    </w:p>
    <w:p w:rsidR="00EB33FE" w:rsidRDefault="00EB33FE"/>
    <w:p w:rsidR="00EB33FE" w:rsidRPr="006C4A0F" w:rsidRDefault="00EB33FE" w:rsidP="00EB33FE">
      <w:pPr>
        <w:pStyle w:val="Body"/>
        <w:rPr>
          <w:b/>
        </w:rPr>
      </w:pPr>
      <w:r w:rsidRPr="006C4A0F">
        <w:rPr>
          <w:b/>
          <w:color w:val="292B2F"/>
          <w:spacing w:val="-3"/>
          <w:u w:color="292B2F"/>
        </w:rPr>
        <w:t>The meeting was called to order by David Shock</w:t>
      </w:r>
      <w:r w:rsidRPr="006C4A0F">
        <w:rPr>
          <w:b/>
          <w:color w:val="292B2F"/>
          <w:spacing w:val="-3"/>
          <w:u w:color="292B2F"/>
          <w:lang w:val="da-DK"/>
        </w:rPr>
        <w:t xml:space="preserve"> at </w:t>
      </w:r>
      <w:r w:rsidRPr="006C4A0F">
        <w:rPr>
          <w:b/>
          <w:color w:val="292B2F"/>
          <w:u w:color="292B2F"/>
        </w:rPr>
        <w:t>12:30 p.m.</w:t>
      </w:r>
    </w:p>
    <w:p w:rsidR="00EB33FE" w:rsidRDefault="00EB33FE"/>
    <w:p w:rsidR="00C820EC" w:rsidRDefault="00C820EC">
      <w:r>
        <w:t>10/18 minutes approved (Linda moves/Michael seconds)</w:t>
      </w:r>
    </w:p>
    <w:p w:rsidR="00C820EC" w:rsidRPr="00EB33FE" w:rsidRDefault="00C820EC">
      <w:pPr>
        <w:rPr>
          <w:b/>
        </w:rPr>
      </w:pPr>
      <w:r w:rsidRPr="00EB33FE">
        <w:rPr>
          <w:b/>
        </w:rPr>
        <w:t>Old Business:</w:t>
      </w:r>
    </w:p>
    <w:p w:rsidR="00C820EC" w:rsidRDefault="00C820EC">
      <w:r>
        <w:t xml:space="preserve">Pol </w:t>
      </w:r>
      <w:proofErr w:type="spellStart"/>
      <w:r>
        <w:t>Sci</w:t>
      </w:r>
      <w:proofErr w:type="spellEnd"/>
      <w:r>
        <w:t xml:space="preserve"> Proposals:</w:t>
      </w:r>
    </w:p>
    <w:p w:rsidR="00C820EC" w:rsidRDefault="00C820EC">
      <w:r>
        <w:t>POLS 4439 – change to existing course, passed on second reading</w:t>
      </w:r>
    </w:p>
    <w:p w:rsidR="00C820EC" w:rsidRDefault="00C820EC">
      <w:r>
        <w:t>POLS 4449 – passed on second reading</w:t>
      </w:r>
    </w:p>
    <w:p w:rsidR="00C820EC" w:rsidRDefault="00C820EC">
      <w:r>
        <w:t>INCM proposals (first round)</w:t>
      </w:r>
    </w:p>
    <w:p w:rsidR="00C820EC" w:rsidRDefault="00C820EC">
      <w:r>
        <w:t xml:space="preserve">Clarification: David S. clarifies that the registrar says that courses already in the catalog do not have </w:t>
      </w:r>
      <w:r w:rsidR="006E6A54">
        <w:t>to</w:t>
      </w:r>
      <w:r>
        <w:t xml:space="preserve"> be revised to reduce the word count to 75, but new courses going in should have the 75 word course description.</w:t>
      </w:r>
    </w:p>
    <w:p w:rsidR="00C820EC" w:rsidRDefault="00C820EC">
      <w:r>
        <w:t xml:space="preserve">Brandon from INCM notes that Nicole </w:t>
      </w:r>
      <w:proofErr w:type="spellStart"/>
      <w:r>
        <w:t>Densmore</w:t>
      </w:r>
      <w:proofErr w:type="spellEnd"/>
      <w:r>
        <w:t xml:space="preserve"> has sent an older version of the description to David, and Brandon will make sure the newly revised version gets to him. David will cut </w:t>
      </w:r>
      <w:r w:rsidR="00EB33FE">
        <w:t xml:space="preserve">and paste the new wording into </w:t>
      </w:r>
      <w:proofErr w:type="spellStart"/>
      <w:r w:rsidR="00EB33FE">
        <w:t>C</w:t>
      </w:r>
      <w:r>
        <w:t>urriculog</w:t>
      </w:r>
      <w:proofErr w:type="spellEnd"/>
      <w:r>
        <w:t xml:space="preserve">. </w:t>
      </w:r>
    </w:p>
    <w:p w:rsidR="00C820EC" w:rsidRDefault="00C820EC">
      <w:r>
        <w:t>Pending these changes, INCM courses pass on 2</w:t>
      </w:r>
      <w:r w:rsidRPr="00C820EC">
        <w:rPr>
          <w:vertAlign w:val="superscript"/>
        </w:rPr>
        <w:t>nd</w:t>
      </w:r>
      <w:r>
        <w:t xml:space="preserve"> reading</w:t>
      </w:r>
    </w:p>
    <w:p w:rsidR="00C820EC" w:rsidRDefault="00C820EC">
      <w:r>
        <w:t>MA</w:t>
      </w:r>
      <w:r w:rsidR="00EB33FE">
        <w:t>IGC</w:t>
      </w:r>
      <w:r>
        <w:t xml:space="preserve"> course changes – Buddy Mayo presents</w:t>
      </w:r>
    </w:p>
    <w:p w:rsidR="00C820EC" w:rsidRDefault="00C820EC">
      <w:r>
        <w:t>New courses in journalism, and recommendation to change in the description of 6440</w:t>
      </w:r>
    </w:p>
    <w:p w:rsidR="00C820EC" w:rsidRDefault="00C820EC">
      <w:r>
        <w:lastRenderedPageBreak/>
        <w:t>Motion to approve – Michael; 2</w:t>
      </w:r>
      <w:r w:rsidRPr="00C820EC">
        <w:rPr>
          <w:vertAlign w:val="superscript"/>
        </w:rPr>
        <w:t>nd</w:t>
      </w:r>
      <w:r>
        <w:t xml:space="preserve"> Ashley and passes on 2</w:t>
      </w:r>
      <w:r w:rsidRPr="00C820EC">
        <w:rPr>
          <w:vertAlign w:val="superscript"/>
        </w:rPr>
        <w:t>nd</w:t>
      </w:r>
      <w:r>
        <w:t xml:space="preserve"> reading</w:t>
      </w:r>
    </w:p>
    <w:p w:rsidR="00C820EC" w:rsidRDefault="00EB33FE">
      <w:r>
        <w:t>Communication</w:t>
      </w:r>
      <w:r w:rsidR="00C820EC">
        <w:t xml:space="preserve">: </w:t>
      </w:r>
      <w:r>
        <w:t xml:space="preserve"> </w:t>
      </w:r>
      <w:r w:rsidR="00C820EC">
        <w:t xml:space="preserve">2 General Education courses – had been sent back to COM for revision </w:t>
      </w:r>
    </w:p>
    <w:p w:rsidR="00C820EC" w:rsidRDefault="00C820EC">
      <w:r>
        <w:t xml:space="preserve">COM 2240; COM 3435, COM 3360 </w:t>
      </w:r>
    </w:p>
    <w:p w:rsidR="00C820EC" w:rsidRDefault="00C820EC">
      <w:r>
        <w:t xml:space="preserve">Buddy comments that the new undergraduate courses in Law, Ethics and Diversity, PR, Journalism, and Media Studies are needed for accreditation purposes. </w:t>
      </w:r>
    </w:p>
    <w:p w:rsidR="00C820EC" w:rsidRDefault="00C820EC">
      <w:r>
        <w:t>Proposals pass on 2</w:t>
      </w:r>
      <w:r w:rsidRPr="00C820EC">
        <w:rPr>
          <w:vertAlign w:val="superscript"/>
        </w:rPr>
        <w:t>nd</w:t>
      </w:r>
      <w:r>
        <w:t xml:space="preserve"> reading (Michael moves; Ashley seconds)</w:t>
      </w:r>
    </w:p>
    <w:p w:rsidR="00C820EC" w:rsidRDefault="00C820EC">
      <w:r>
        <w:t>Erin Ryan presents on proposals for Media and Entertainment Studies (MENT) – program changes having to do with changes in Area F requirements.  1 non-communications class is moving back into communications so that this concentration will have the same requirements as the PR and journalism concentrations</w:t>
      </w:r>
    </w:p>
    <w:p w:rsidR="00C820EC" w:rsidRDefault="00C820EC">
      <w:r>
        <w:t>Academic policies are updated and deselected “teaching at distance</w:t>
      </w:r>
      <w:r w:rsidR="006E6A54">
        <w:t>”.</w:t>
      </w:r>
    </w:p>
    <w:p w:rsidR="00C820EC" w:rsidRDefault="00C820EC">
      <w:r>
        <w:t>Justification:</w:t>
      </w:r>
      <w:r w:rsidR="00EB33FE">
        <w:t xml:space="preserve">  </w:t>
      </w:r>
      <w:r>
        <w:t xml:space="preserve"> Changes to 3100 course have to do with using existing faculty instead of shifting to different programs to cover new courses, deleting 2230 from pre-requisites</w:t>
      </w:r>
    </w:p>
    <w:p w:rsidR="00E41041" w:rsidRDefault="00E41041">
      <w:r>
        <w:t>Some discussion of BOR rules about Area F.  Barbara Gainey adds that this a temporary fix that will be revisited with changes in the Gen Ed program and through the Gen Ed council</w:t>
      </w:r>
    </w:p>
    <w:p w:rsidR="00E41041" w:rsidRDefault="00E41041"/>
    <w:p w:rsidR="00E41041" w:rsidRDefault="00E41041">
      <w:r>
        <w:t>Proposals pass on second reading (moved by Michael and 2</w:t>
      </w:r>
      <w:r w:rsidRPr="00E41041">
        <w:rPr>
          <w:vertAlign w:val="superscript"/>
        </w:rPr>
        <w:t>nd</w:t>
      </w:r>
      <w:r>
        <w:t xml:space="preserve"> by Ashley)</w:t>
      </w:r>
    </w:p>
    <w:p w:rsidR="00E41041" w:rsidRDefault="00E41041">
      <w:r>
        <w:t xml:space="preserve">Organizational and Professional Communications – </w:t>
      </w:r>
    </w:p>
    <w:p w:rsidR="00E41041" w:rsidRDefault="00E41041">
      <w:r>
        <w:t>Created new course ORGC2205 and COM 2205 will no longer exist</w:t>
      </w:r>
    </w:p>
    <w:p w:rsidR="00E41041" w:rsidRDefault="00E41041">
      <w:r>
        <w:t>No changes to pre-requisites</w:t>
      </w:r>
    </w:p>
    <w:p w:rsidR="00E41041" w:rsidRDefault="00E41041">
      <w:r>
        <w:t>Deleting COM 1102</w:t>
      </w:r>
    </w:p>
    <w:p w:rsidR="00E41041" w:rsidRDefault="00E41041">
      <w:r>
        <w:t>These proposals are passed (Michael Moves, Ashley seconds)</w:t>
      </w:r>
    </w:p>
    <w:p w:rsidR="00E41041" w:rsidRDefault="00E41041">
      <w:r>
        <w:t>Ba</w:t>
      </w:r>
      <w:r w:rsidR="006E6A54">
        <w:t>rbara Gainey presents changes to</w:t>
      </w:r>
      <w:r>
        <w:t xml:space="preserve"> BS in journalism and emerging media:</w:t>
      </w:r>
    </w:p>
    <w:p w:rsidR="00E41041" w:rsidRDefault="00E41041">
      <w:r>
        <w:t>Changes in Area F, changed wording for academic policies</w:t>
      </w:r>
    </w:p>
    <w:p w:rsidR="00E41041" w:rsidRDefault="00E41041">
      <w:proofErr w:type="gramStart"/>
      <w:r>
        <w:t>Passes.</w:t>
      </w:r>
      <w:proofErr w:type="gramEnd"/>
      <w:r>
        <w:t xml:space="preserve"> (Linda T moves, Ashley seconds)</w:t>
      </w:r>
    </w:p>
    <w:p w:rsidR="00E41041" w:rsidRDefault="00E41041">
      <w:proofErr w:type="gramStart"/>
      <w:r>
        <w:t>PR package, also approved.</w:t>
      </w:r>
      <w:proofErr w:type="gramEnd"/>
      <w:r>
        <w:t xml:space="preserve"> (Michael moves, Linda seconds)</w:t>
      </w:r>
    </w:p>
    <w:p w:rsidR="00E41041" w:rsidRDefault="00E41041">
      <w:r>
        <w:t>Old business concluded</w:t>
      </w:r>
    </w:p>
    <w:p w:rsidR="00EB33FE" w:rsidRDefault="00EB33FE"/>
    <w:p w:rsidR="00E41041" w:rsidRPr="00EB33FE" w:rsidRDefault="00E41041">
      <w:pPr>
        <w:rPr>
          <w:b/>
        </w:rPr>
      </w:pPr>
      <w:r w:rsidRPr="00EB33FE">
        <w:rPr>
          <w:b/>
        </w:rPr>
        <w:lastRenderedPageBreak/>
        <w:t>New Business:</w:t>
      </w:r>
    </w:p>
    <w:p w:rsidR="00E41041" w:rsidRDefault="00E41041">
      <w:r>
        <w:t xml:space="preserve">MA Communications: </w:t>
      </w:r>
    </w:p>
    <w:p w:rsidR="00E41041" w:rsidRDefault="00E41041">
      <w:r>
        <w:t xml:space="preserve">Buddy Mayo presents </w:t>
      </w:r>
    </w:p>
    <w:p w:rsidR="00E41041" w:rsidRDefault="00E41041">
      <w:r>
        <w:t xml:space="preserve">Program change proposal requested by Amy </w:t>
      </w:r>
      <w:proofErr w:type="spellStart"/>
      <w:r>
        <w:t>Vasinko</w:t>
      </w:r>
      <w:proofErr w:type="spellEnd"/>
      <w:r>
        <w:t xml:space="preserve"> </w:t>
      </w:r>
      <w:proofErr w:type="gramStart"/>
      <w:r>
        <w:t>-  because</w:t>
      </w:r>
      <w:proofErr w:type="gramEnd"/>
      <w:r>
        <w:t xml:space="preserve"> of addition of new course, COM 6640 at the last meeting.</w:t>
      </w:r>
    </w:p>
    <w:p w:rsidR="00E41041" w:rsidRDefault="00E41041">
      <w:r>
        <w:t>Passes on first reading; motion to waive 2</w:t>
      </w:r>
      <w:r w:rsidRPr="00E41041">
        <w:rPr>
          <w:vertAlign w:val="superscript"/>
        </w:rPr>
        <w:t>nd</w:t>
      </w:r>
      <w:r>
        <w:t xml:space="preserve"> reading – also passes</w:t>
      </w:r>
    </w:p>
    <w:p w:rsidR="00E41041" w:rsidRDefault="00E41041">
      <w:r>
        <w:br/>
        <w:t xml:space="preserve">Geography and Anthropology: </w:t>
      </w:r>
    </w:p>
    <w:p w:rsidR="00E41041" w:rsidRDefault="00E41041">
      <w:r>
        <w:t xml:space="preserve">Matt M. – minor changes, related to change in Gen Ed – updating the rest of the degree </w:t>
      </w:r>
    </w:p>
    <w:p w:rsidR="00E41041" w:rsidRDefault="00E41041">
      <w:r>
        <w:t>Option now is for GEO 1101 instead of only Geo 2105</w:t>
      </w:r>
    </w:p>
    <w:p w:rsidR="00E41041" w:rsidRDefault="00E41041">
      <w:r>
        <w:t>Updated pre-</w:t>
      </w:r>
      <w:proofErr w:type="spellStart"/>
      <w:r>
        <w:t>reqs</w:t>
      </w:r>
      <w:proofErr w:type="spellEnd"/>
      <w:r>
        <w:t xml:space="preserve"> and the same change is being made in each of the Geo/</w:t>
      </w:r>
      <w:proofErr w:type="spellStart"/>
      <w:r>
        <w:t>Anth</w:t>
      </w:r>
      <w:proofErr w:type="spellEnd"/>
      <w:r>
        <w:t xml:space="preserve"> proposals</w:t>
      </w:r>
    </w:p>
    <w:p w:rsidR="00E41041" w:rsidRDefault="00E41041">
      <w:r>
        <w:t xml:space="preserve">Proposal passes on first </w:t>
      </w:r>
      <w:proofErr w:type="gramStart"/>
      <w:r>
        <w:t>reading  (</w:t>
      </w:r>
      <w:proofErr w:type="gramEnd"/>
      <w:r>
        <w:t>Amy moves, Michael 2nds), proposal to waive second reading passes (Ashley moves/Polly seconds)</w:t>
      </w:r>
    </w:p>
    <w:p w:rsidR="00E41041" w:rsidRDefault="00E41041">
      <w:r>
        <w:t>Brandon Lundy presenting on changes in INCM:</w:t>
      </w:r>
    </w:p>
    <w:p w:rsidR="00E41041" w:rsidRDefault="00E41041">
      <w:r>
        <w:t xml:space="preserve">Policy change to align with GC </w:t>
      </w:r>
      <w:proofErr w:type="gramStart"/>
      <w:r>
        <w:t>college</w:t>
      </w:r>
      <w:proofErr w:type="gramEnd"/>
      <w:r>
        <w:t>, a maximum of 25% of overall program on transfer credits, and down to 17 transfer credits, and changes to the hours of electives. They are allowing 18 hours of electives in specific concentration or discipline, also needed for graduate students to TA because they need 18 hours of graduate course work to teach as instructor of record according to SACS.</w:t>
      </w:r>
      <w:r w:rsidR="00EB651F">
        <w:t xml:space="preserve"> </w:t>
      </w:r>
    </w:p>
    <w:p w:rsidR="00EB651F" w:rsidRDefault="00EB651F">
      <w:r>
        <w:t>This also allows students to include concentration and specialization that will show on transcript and help with jobs upon graduation</w:t>
      </w:r>
    </w:p>
    <w:p w:rsidR="00EB651F" w:rsidRDefault="00EB651F">
      <w:proofErr w:type="gramStart"/>
      <w:r>
        <w:t>Clarifications on academic policies – a “B” or better in core program courses, and allows</w:t>
      </w:r>
      <w:proofErr w:type="gramEnd"/>
      <w:r>
        <w:t xml:space="preserve"> students to retake a course below a “B” one time</w:t>
      </w:r>
    </w:p>
    <w:p w:rsidR="00EB651F" w:rsidRDefault="00EB651F">
      <w:proofErr w:type="gramStart"/>
      <w:r>
        <w:t>Graduate policies on time-periods for expiration of transfer credits is</w:t>
      </w:r>
      <w:proofErr w:type="gramEnd"/>
      <w:r>
        <w:t xml:space="preserve"> 7 years, so program maintains that limit.</w:t>
      </w:r>
    </w:p>
    <w:p w:rsidR="00EB651F" w:rsidRDefault="00EB651F">
      <w:r>
        <w:t>Motion to approve – Michael, 2</w:t>
      </w:r>
      <w:r w:rsidRPr="00EB651F">
        <w:rPr>
          <w:vertAlign w:val="superscript"/>
        </w:rPr>
        <w:t>nd</w:t>
      </w:r>
      <w:r>
        <w:t>, Ashley, INCM changes pass on first reading</w:t>
      </w:r>
    </w:p>
    <w:p w:rsidR="00EB651F" w:rsidRDefault="00EB651F">
      <w:r>
        <w:t>1:26 move to adjourn</w:t>
      </w:r>
    </w:p>
    <w:p w:rsidR="00EB33FE" w:rsidRDefault="00EB33FE"/>
    <w:p w:rsidR="00EB33FE" w:rsidRDefault="00EB33FE">
      <w:r>
        <w:t>Minutes submitted by Rebecca Hill</w:t>
      </w:r>
      <w:bookmarkStart w:id="0" w:name="_GoBack"/>
      <w:bookmarkEnd w:id="0"/>
    </w:p>
    <w:sectPr w:rsidR="00EB3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0EC"/>
    <w:rsid w:val="00373D5D"/>
    <w:rsid w:val="006E6A54"/>
    <w:rsid w:val="00800D8B"/>
    <w:rsid w:val="00B840B8"/>
    <w:rsid w:val="00BB7CDA"/>
    <w:rsid w:val="00C820EC"/>
    <w:rsid w:val="00E41041"/>
    <w:rsid w:val="00EB33FE"/>
    <w:rsid w:val="00EB6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3FE"/>
    <w:rPr>
      <w:rFonts w:ascii="Tahoma" w:hAnsi="Tahoma" w:cs="Tahoma"/>
      <w:sz w:val="16"/>
      <w:szCs w:val="16"/>
    </w:rPr>
  </w:style>
  <w:style w:type="paragraph" w:customStyle="1" w:styleId="Body">
    <w:name w:val="Body"/>
    <w:rsid w:val="00EB33FE"/>
    <w:pPr>
      <w:pBdr>
        <w:top w:val="nil"/>
        <w:left w:val="nil"/>
        <w:bottom w:val="nil"/>
        <w:right w:val="nil"/>
        <w:between w:val="nil"/>
        <w:bar w:val="nil"/>
      </w:pBdr>
      <w:spacing w:after="0" w:line="240" w:lineRule="auto"/>
    </w:pPr>
    <w:rPr>
      <w:rFonts w:ascii="Calibri" w:eastAsia="Arial Unicode MS" w:hAnsi="Arial Unicode MS" w:cs="Arial Unicode MS"/>
      <w:color w:val="000000"/>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3FE"/>
    <w:rPr>
      <w:rFonts w:ascii="Tahoma" w:hAnsi="Tahoma" w:cs="Tahoma"/>
      <w:sz w:val="16"/>
      <w:szCs w:val="16"/>
    </w:rPr>
  </w:style>
  <w:style w:type="paragraph" w:customStyle="1" w:styleId="Body">
    <w:name w:val="Body"/>
    <w:rsid w:val="00EB33FE"/>
    <w:pPr>
      <w:pBdr>
        <w:top w:val="nil"/>
        <w:left w:val="nil"/>
        <w:bottom w:val="nil"/>
        <w:right w:val="nil"/>
        <w:between w:val="nil"/>
        <w:bar w:val="nil"/>
      </w:pBdr>
      <w:spacing w:after="0" w:line="240" w:lineRule="auto"/>
    </w:pPr>
    <w:rPr>
      <w:rFonts w:ascii="Calibri" w:eastAsia="Arial Unicode MS" w:hAnsi="Arial Unicode MS"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juser</cp:lastModifiedBy>
  <cp:revision>5</cp:revision>
  <dcterms:created xsi:type="dcterms:W3CDTF">2016-11-13T20:55:00Z</dcterms:created>
  <dcterms:modified xsi:type="dcterms:W3CDTF">2016-11-15T18:32:00Z</dcterms:modified>
</cp:coreProperties>
</file>