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4D61A" w14:textId="2910C099" w:rsidR="00E913AE" w:rsidRDefault="00E52E3F">
      <w:pPr>
        <w:rPr>
          <w:b/>
          <w:bCs/>
        </w:rPr>
      </w:pPr>
      <w:r w:rsidRPr="00E52E3F">
        <w:rPr>
          <w:b/>
          <w:bCs/>
        </w:rPr>
        <w:t>Aerospace Engineering (B.S)</w:t>
      </w:r>
      <w:r w:rsidR="00973FAA">
        <w:rPr>
          <w:b/>
          <w:bCs/>
        </w:rPr>
        <w:t xml:space="preserve"> </w:t>
      </w:r>
    </w:p>
    <w:p w14:paraId="5297337A" w14:textId="542CD0AE" w:rsidR="0031208C" w:rsidRPr="0031208C" w:rsidRDefault="0031208C" w:rsidP="0031208C">
      <w:r w:rsidRPr="0031208C">
        <w:t xml:space="preserve">The Aerospace Engineering program at Kennesaw State University offers a strong foundation in engineering, math, and science, preparing students for </w:t>
      </w:r>
      <w:r>
        <w:t xml:space="preserve">the </w:t>
      </w:r>
      <w:r w:rsidRPr="0031208C">
        <w:t>design and development of aerospace systems. It combines theory with hands-on experience, culminating in a year-long senior capstone project addressing real-world challenges through team-based work.</w:t>
      </w:r>
      <w:r w:rsidR="00A105CA">
        <w:t xml:space="preserve"> </w:t>
      </w:r>
      <w:r w:rsidRPr="0031208C">
        <w:t xml:space="preserve">The program has two </w:t>
      </w:r>
      <w:r w:rsidR="001F3808">
        <w:t>concentrations</w:t>
      </w:r>
      <w:r w:rsidRPr="0031208C">
        <w:t>: Aeronautics, focusing on atmospheric vehicles like airplanes and drones, covering aerodynamics, structures, propulsion, and controls; and Astronautics, centered on space systems such as spacecraft</w:t>
      </w:r>
      <w:r>
        <w:t xml:space="preserve">, rockets, </w:t>
      </w:r>
      <w:r w:rsidRPr="0031208C">
        <w:t>and satellites, including space travel, orbital mechanics, and communications.</w:t>
      </w:r>
    </w:p>
    <w:p w14:paraId="0D9EA4BE" w14:textId="44EA64AC" w:rsidR="0031208C" w:rsidRPr="0031208C" w:rsidRDefault="0031208C" w:rsidP="0031208C">
      <w:r w:rsidRPr="0031208C">
        <w:t xml:space="preserve">Students gain practical experience with advanced facilities and participate in projects like </w:t>
      </w:r>
      <w:r>
        <w:t xml:space="preserve">aircraft, </w:t>
      </w:r>
      <w:r w:rsidRPr="0031208C">
        <w:t>UAV</w:t>
      </w:r>
      <w:r>
        <w:t>s,</w:t>
      </w:r>
      <w:r w:rsidRPr="0031208C">
        <w:t xml:space="preserve"> and small spacecraft design. Graduates are ready for careers in aerospace, government agencies like NASA and the Air Force, or further studies.</w:t>
      </w:r>
    </w:p>
    <w:p w14:paraId="0FC01FC5" w14:textId="77777777" w:rsidR="00A87374" w:rsidRDefault="00A87374">
      <w:pPr>
        <w:rPr>
          <w:b/>
          <w:bCs/>
        </w:rPr>
      </w:pPr>
    </w:p>
    <w:p w14:paraId="5CECAA4E" w14:textId="77777777" w:rsidR="00A87374" w:rsidRPr="00A87374" w:rsidRDefault="00A87374" w:rsidP="00A87374"/>
    <w:p w14:paraId="7E4E6785" w14:textId="02B98554" w:rsidR="00A87374" w:rsidRPr="00973FAA" w:rsidRDefault="00A87374" w:rsidP="00A87374">
      <w:pPr>
        <w:rPr>
          <w:b/>
          <w:bCs/>
          <w:color w:val="FF0000"/>
        </w:rPr>
      </w:pPr>
      <w:r w:rsidRPr="00A87374">
        <w:rPr>
          <w:b/>
          <w:bCs/>
        </w:rPr>
        <w:t>Program Student Learning Outcomes</w:t>
      </w:r>
      <w:r w:rsidR="00973FAA">
        <w:rPr>
          <w:b/>
          <w:bCs/>
        </w:rPr>
        <w:t xml:space="preserve"> </w:t>
      </w:r>
    </w:p>
    <w:p w14:paraId="20E65CD1" w14:textId="4EB18733" w:rsidR="00A87374" w:rsidRDefault="00A87374" w:rsidP="00A87374">
      <w:r w:rsidRPr="00A87374">
        <w:t>Students who complete this program will</w:t>
      </w:r>
      <w:r w:rsidR="00A105CA">
        <w:t xml:space="preserve"> have</w:t>
      </w:r>
    </w:p>
    <w:p w14:paraId="44B711F5" w14:textId="77777777" w:rsidR="00A105CA" w:rsidRPr="00A105CA" w:rsidRDefault="00A105CA" w:rsidP="00A105CA">
      <w:pPr>
        <w:numPr>
          <w:ilvl w:val="0"/>
          <w:numId w:val="6"/>
        </w:numPr>
      </w:pPr>
      <w:r w:rsidRPr="00A105CA">
        <w:t>an ability to identify, formulate, and solve complex engineering problems by applying principles of engineering, science, and mathematics.</w:t>
      </w:r>
    </w:p>
    <w:p w14:paraId="3E38BE38" w14:textId="77777777" w:rsidR="00A105CA" w:rsidRPr="00A105CA" w:rsidRDefault="00A105CA" w:rsidP="00A105CA">
      <w:pPr>
        <w:numPr>
          <w:ilvl w:val="0"/>
          <w:numId w:val="6"/>
        </w:numPr>
      </w:pPr>
      <w:r w:rsidRPr="00A105CA">
        <w:t>an ability to apply engineering design to produce solutions that meet specified needs with consideration of public health, safety, and welfare, as well as global, cultural, social, environmental, and economic factors.</w:t>
      </w:r>
    </w:p>
    <w:p w14:paraId="21E6387F" w14:textId="77777777" w:rsidR="00A105CA" w:rsidRPr="00A105CA" w:rsidRDefault="00A105CA" w:rsidP="00A105CA">
      <w:pPr>
        <w:numPr>
          <w:ilvl w:val="0"/>
          <w:numId w:val="6"/>
        </w:numPr>
      </w:pPr>
      <w:r w:rsidRPr="00A105CA">
        <w:t>an ability to communicate effectively with a range of audiences.</w:t>
      </w:r>
    </w:p>
    <w:p w14:paraId="181224EC" w14:textId="77777777" w:rsidR="00A105CA" w:rsidRPr="00A105CA" w:rsidRDefault="00A105CA" w:rsidP="00A105CA">
      <w:pPr>
        <w:numPr>
          <w:ilvl w:val="0"/>
          <w:numId w:val="6"/>
        </w:numPr>
      </w:pPr>
      <w:r w:rsidRPr="00A105CA">
        <w:t>an ability to recognize ethical and professional responsibilities in engineering situations and make informed judgments, which must consider the impact of engineering solutions in global, economic, environmental, and societal contexts.</w:t>
      </w:r>
    </w:p>
    <w:p w14:paraId="0B1F41D6" w14:textId="77777777" w:rsidR="00A105CA" w:rsidRPr="00A105CA" w:rsidRDefault="00A105CA" w:rsidP="00A105CA">
      <w:pPr>
        <w:numPr>
          <w:ilvl w:val="0"/>
          <w:numId w:val="6"/>
        </w:numPr>
      </w:pPr>
      <w:r w:rsidRPr="00A105CA">
        <w:t>an ability to function effectively on a team whose members together provide leadership, create a collaborative environment, establish goals, plan tasks, and meet objectives.</w:t>
      </w:r>
    </w:p>
    <w:p w14:paraId="492D68E3" w14:textId="77777777" w:rsidR="00A105CA" w:rsidRPr="00A105CA" w:rsidRDefault="00A105CA" w:rsidP="00A105CA">
      <w:pPr>
        <w:numPr>
          <w:ilvl w:val="0"/>
          <w:numId w:val="6"/>
        </w:numPr>
      </w:pPr>
      <w:r w:rsidRPr="00A105CA">
        <w:t>an ability to develop and conduct appropriate experimentation, analyze and interpret data, and use engineering judgment to draw conclusions.</w:t>
      </w:r>
    </w:p>
    <w:p w14:paraId="575241A8" w14:textId="77777777" w:rsidR="00A105CA" w:rsidRDefault="00A105CA" w:rsidP="00A105CA">
      <w:pPr>
        <w:numPr>
          <w:ilvl w:val="0"/>
          <w:numId w:val="6"/>
        </w:numPr>
      </w:pPr>
      <w:r w:rsidRPr="00A105CA">
        <w:lastRenderedPageBreak/>
        <w:t>an ability to acquire and apply new knowledge as needed, using appropriate learning strategies.</w:t>
      </w:r>
    </w:p>
    <w:p w14:paraId="16B2BFD9" w14:textId="1DC7C475" w:rsidR="00A87374" w:rsidRDefault="00A105CA" w:rsidP="00A105CA">
      <w:pPr>
        <w:numPr>
          <w:ilvl w:val="0"/>
          <w:numId w:val="6"/>
        </w:numPr>
      </w:pPr>
      <w:r>
        <w:t>An ability to u</w:t>
      </w:r>
      <w:r w:rsidR="00A87374" w:rsidRPr="00A87374">
        <w:t xml:space="preserve">tilize specialized software adopted in industry to solve complex engineering problems. </w:t>
      </w:r>
    </w:p>
    <w:p w14:paraId="5F3FD328" w14:textId="77777777" w:rsidR="001F3808" w:rsidRDefault="001F3808" w:rsidP="001F3808"/>
    <w:p w14:paraId="41B5743E" w14:textId="223C8F88" w:rsidR="00973FAA" w:rsidRPr="00973FAA" w:rsidRDefault="001F3808" w:rsidP="00973FAA">
      <w:pPr>
        <w:rPr>
          <w:b/>
          <w:bCs/>
          <w:color w:val="FF0000"/>
        </w:rPr>
      </w:pPr>
      <w:r w:rsidRPr="001F3808">
        <w:rPr>
          <w:b/>
          <w:bCs/>
        </w:rPr>
        <w:t xml:space="preserve">Program </w:t>
      </w:r>
      <w:r>
        <w:rPr>
          <w:b/>
          <w:bCs/>
        </w:rPr>
        <w:t>Educational</w:t>
      </w:r>
      <w:r w:rsidRPr="001F3808">
        <w:rPr>
          <w:b/>
          <w:bCs/>
        </w:rPr>
        <w:t xml:space="preserve"> Objectives</w:t>
      </w:r>
      <w:r w:rsidR="00973FAA">
        <w:rPr>
          <w:b/>
          <w:bCs/>
        </w:rPr>
        <w:t xml:space="preserve"> </w:t>
      </w:r>
    </w:p>
    <w:p w14:paraId="3A67FDF5" w14:textId="69395120" w:rsidR="001F3808" w:rsidRPr="001F3808" w:rsidRDefault="001F3808" w:rsidP="001F3808">
      <w:pPr>
        <w:rPr>
          <w:b/>
          <w:bCs/>
        </w:rPr>
      </w:pPr>
    </w:p>
    <w:p w14:paraId="6684B613" w14:textId="3106046C" w:rsidR="001F3808" w:rsidRPr="001F3808" w:rsidRDefault="001F3808" w:rsidP="001F3808">
      <w:r w:rsidRPr="001F3808">
        <w:t xml:space="preserve">Program educational objectives are benchmarks for career and professional accomplishments that the degree program prepares graduates to achieve during the first few years following graduation. Graduates of the </w:t>
      </w:r>
      <w:r w:rsidR="009E0AC2">
        <w:t xml:space="preserve">Aerospace </w:t>
      </w:r>
      <w:r w:rsidRPr="001F3808">
        <w:t>l Engineering program </w:t>
      </w:r>
      <w:r w:rsidR="009E0AC2">
        <w:t xml:space="preserve">, </w:t>
      </w:r>
      <w:r w:rsidRPr="001F3808">
        <w:t>after a few years of work experience</w:t>
      </w:r>
      <w:r w:rsidR="009E0AC2">
        <w:t>,</w:t>
      </w:r>
      <w:r w:rsidRPr="001F3808">
        <w:t xml:space="preserve"> will be able to: </w:t>
      </w:r>
    </w:p>
    <w:p w14:paraId="56D35956" w14:textId="4EECEDD3" w:rsidR="009E0AC2" w:rsidRDefault="009E0AC2" w:rsidP="009E0AC2">
      <w:pPr>
        <w:pStyle w:val="ListParagraph"/>
        <w:numPr>
          <w:ilvl w:val="0"/>
          <w:numId w:val="5"/>
        </w:numPr>
      </w:pPr>
      <w:r>
        <w:t>Apply technical knowledge and innovative problem-solving skills to design, analyze, and improve aerospace systems in aeronautics or astronautics.</w:t>
      </w:r>
    </w:p>
    <w:p w14:paraId="05172711" w14:textId="77777777" w:rsidR="009E0AC2" w:rsidRDefault="009E0AC2" w:rsidP="009E0AC2">
      <w:pPr>
        <w:pStyle w:val="ListParagraph"/>
        <w:numPr>
          <w:ilvl w:val="0"/>
          <w:numId w:val="5"/>
        </w:numPr>
      </w:pPr>
      <w:r>
        <w:t>Engage in ongoing professional development through advanced education, certifications, or active participation in industry and professional societies.</w:t>
      </w:r>
    </w:p>
    <w:p w14:paraId="64425D16" w14:textId="77777777" w:rsidR="009E0AC2" w:rsidRDefault="009E0AC2" w:rsidP="009E0AC2">
      <w:pPr>
        <w:pStyle w:val="ListParagraph"/>
        <w:numPr>
          <w:ilvl w:val="0"/>
          <w:numId w:val="5"/>
        </w:numPr>
      </w:pPr>
      <w:r>
        <w:t>Demonstrate leadership, teamwork, and ethical responsibility in diverse settings, promoting excellence, diversity, and integrity within their workplace and community.</w:t>
      </w:r>
    </w:p>
    <w:p w14:paraId="60FA11BF" w14:textId="77777777" w:rsidR="009E0AC2" w:rsidRDefault="009E0AC2" w:rsidP="009E0AC2">
      <w:pPr>
        <w:pStyle w:val="ListParagraph"/>
        <w:numPr>
          <w:ilvl w:val="0"/>
          <w:numId w:val="5"/>
        </w:numPr>
      </w:pPr>
      <w:r>
        <w:t>Contribute positively to society and the aerospace industry by fostering innovation, sustainability, and societal impact through research, mentoring, and professional engagement.</w:t>
      </w:r>
    </w:p>
    <w:p w14:paraId="06141EF1" w14:textId="77777777" w:rsidR="001F3808" w:rsidRDefault="001F3808" w:rsidP="001F3808"/>
    <w:p w14:paraId="6B55F5E3" w14:textId="77777777" w:rsidR="00433768" w:rsidRDefault="00433768" w:rsidP="001F3808"/>
    <w:p w14:paraId="72CC6C19" w14:textId="085B07BD" w:rsidR="00973FAA" w:rsidRPr="00973FAA" w:rsidRDefault="00433768" w:rsidP="00973FAA">
      <w:pPr>
        <w:rPr>
          <w:b/>
          <w:bCs/>
          <w:color w:val="FF0000"/>
        </w:rPr>
      </w:pPr>
      <w:proofErr w:type="gramStart"/>
      <w:r>
        <w:rPr>
          <w:b/>
          <w:bCs/>
        </w:rPr>
        <w:t xml:space="preserve">Aerospace </w:t>
      </w:r>
      <w:r w:rsidRPr="00433768">
        <w:rPr>
          <w:b/>
          <w:bCs/>
        </w:rPr>
        <w:t xml:space="preserve"> Engineering</w:t>
      </w:r>
      <w:proofErr w:type="gramEnd"/>
      <w:r w:rsidRPr="00433768">
        <w:rPr>
          <w:b/>
          <w:bCs/>
        </w:rPr>
        <w:t xml:space="preserve"> Standing</w:t>
      </w:r>
      <w:r w:rsidR="00973FAA">
        <w:rPr>
          <w:b/>
          <w:bCs/>
        </w:rPr>
        <w:t xml:space="preserve"> </w:t>
      </w:r>
    </w:p>
    <w:p w14:paraId="156ADCD5" w14:textId="275BF524" w:rsidR="00433768" w:rsidRPr="00433768" w:rsidRDefault="00433768" w:rsidP="00433768">
      <w:pPr>
        <w:rPr>
          <w:b/>
          <w:bCs/>
        </w:rPr>
      </w:pPr>
    </w:p>
    <w:p w14:paraId="3FA68190" w14:textId="10147509" w:rsidR="00433768" w:rsidRPr="00433768" w:rsidRDefault="00433768" w:rsidP="00433768">
      <w:r w:rsidRPr="00433768">
        <w:t>The Mechanical</w:t>
      </w:r>
      <w:r>
        <w:t xml:space="preserve"> and </w:t>
      </w:r>
      <w:proofErr w:type="gramStart"/>
      <w:r>
        <w:t xml:space="preserve">Aerospace </w:t>
      </w:r>
      <w:r w:rsidRPr="00433768">
        <w:t xml:space="preserve"> Engineering</w:t>
      </w:r>
      <w:proofErr w:type="gramEnd"/>
      <w:r w:rsidRPr="00433768">
        <w:t xml:space="preserve"> Department emphasizes academic excellence for all students. Students must secure Engineering Standing before progressing to upper-division coursework. A minimum GPA of 2.7 in selected math, science, and engineering classes is required for eligibility. Please visit </w:t>
      </w:r>
      <w:hyperlink r:id="rId5" w:history="1">
        <w:r w:rsidRPr="00433768">
          <w:rPr>
            <w:rStyle w:val="Hyperlink"/>
          </w:rPr>
          <w:t>SPCEET Advising</w:t>
        </w:r>
      </w:hyperlink>
      <w:r w:rsidRPr="00433768">
        <w:t xml:space="preserve"> for the complete list of required coursework. </w:t>
      </w:r>
    </w:p>
    <w:p w14:paraId="3B7DB307" w14:textId="77777777" w:rsidR="00973FAA" w:rsidRDefault="00973FAA" w:rsidP="00433768">
      <w:pPr>
        <w:rPr>
          <w:b/>
          <w:bCs/>
        </w:rPr>
      </w:pPr>
    </w:p>
    <w:p w14:paraId="0DEE283E" w14:textId="77777777" w:rsidR="00973FAA" w:rsidRDefault="00973FAA" w:rsidP="00433768">
      <w:pPr>
        <w:rPr>
          <w:b/>
          <w:bCs/>
        </w:rPr>
      </w:pPr>
    </w:p>
    <w:p w14:paraId="54A7989D" w14:textId="27449209" w:rsidR="00973FAA" w:rsidRPr="00973FAA" w:rsidRDefault="00433768" w:rsidP="00973FAA">
      <w:pPr>
        <w:rPr>
          <w:b/>
          <w:bCs/>
          <w:color w:val="FF0000"/>
        </w:rPr>
      </w:pPr>
      <w:r w:rsidRPr="00433768">
        <w:rPr>
          <w:b/>
          <w:bCs/>
        </w:rPr>
        <w:lastRenderedPageBreak/>
        <w:t>Application Guidelines:</w:t>
      </w:r>
      <w:r w:rsidR="00973FAA">
        <w:rPr>
          <w:b/>
          <w:bCs/>
        </w:rPr>
        <w:t xml:space="preserve"> </w:t>
      </w:r>
    </w:p>
    <w:p w14:paraId="71C55544" w14:textId="3C96ADDB" w:rsidR="00433768" w:rsidRPr="00433768" w:rsidRDefault="00433768" w:rsidP="00433768"/>
    <w:p w14:paraId="3A64F762" w14:textId="77777777" w:rsidR="00433768" w:rsidRPr="00433768" w:rsidRDefault="00433768" w:rsidP="00433768">
      <w:pPr>
        <w:numPr>
          <w:ilvl w:val="0"/>
          <w:numId w:val="7"/>
        </w:numPr>
      </w:pPr>
      <w:r w:rsidRPr="00433768">
        <w:t>Download and fill out the Engineering Standing application for your associated engineering or non-engineering major.</w:t>
      </w:r>
    </w:p>
    <w:p w14:paraId="4E7330CF" w14:textId="77777777" w:rsidR="00433768" w:rsidRPr="00433768" w:rsidRDefault="00433768" w:rsidP="00433768">
      <w:pPr>
        <w:numPr>
          <w:ilvl w:val="0"/>
          <w:numId w:val="7"/>
        </w:numPr>
      </w:pPr>
      <w:r w:rsidRPr="00433768">
        <w:t xml:space="preserve">Email the completed form to your academic advisor. If needed, contact </w:t>
      </w:r>
      <w:hyperlink r:id="rId6" w:history="1">
        <w:r w:rsidRPr="00433768">
          <w:rPr>
            <w:rStyle w:val="Hyperlink"/>
          </w:rPr>
          <w:t>SPCEETadvising@kennesaw.edu</w:t>
        </w:r>
      </w:hyperlink>
      <w:r w:rsidRPr="00433768">
        <w:t> for assistance.</w:t>
      </w:r>
    </w:p>
    <w:p w14:paraId="2313C623" w14:textId="0CA33BD7" w:rsidR="00973FAA" w:rsidRPr="00973FAA" w:rsidRDefault="00433768" w:rsidP="00973FAA">
      <w:pPr>
        <w:rPr>
          <w:b/>
          <w:bCs/>
          <w:color w:val="FF0000"/>
        </w:rPr>
      </w:pPr>
      <w:r w:rsidRPr="00433768">
        <w:rPr>
          <w:b/>
          <w:bCs/>
        </w:rPr>
        <w:t>Apply as an Engineering Major</w:t>
      </w:r>
      <w:r w:rsidR="00973FAA">
        <w:rPr>
          <w:b/>
          <w:bCs/>
        </w:rPr>
        <w:t xml:space="preserve"> </w:t>
      </w:r>
    </w:p>
    <w:p w14:paraId="3424569B" w14:textId="48A4F0D3" w:rsidR="00433768" w:rsidRPr="00433768" w:rsidRDefault="00433768" w:rsidP="00433768">
      <w:pPr>
        <w:rPr>
          <w:b/>
          <w:bCs/>
        </w:rPr>
      </w:pPr>
    </w:p>
    <w:p w14:paraId="711B573D" w14:textId="77777777" w:rsidR="00433768" w:rsidRPr="00433768" w:rsidRDefault="00433768" w:rsidP="00433768">
      <w:r w:rsidRPr="00433768">
        <w:t>To apply for Engineering Standing, download and complete the application for your specific major or if you need engineering standing to pursue a minor, please fill out the standing form for non-engineering majors at the bottom of this page. </w:t>
      </w:r>
    </w:p>
    <w:p w14:paraId="40EEC4AF" w14:textId="77777777" w:rsidR="00433768" w:rsidRPr="00433768" w:rsidRDefault="00433768" w:rsidP="00433768">
      <w:r w:rsidRPr="00433768">
        <w:t>After filling out the application, email it directly to your </w:t>
      </w:r>
      <w:hyperlink r:id="rId7" w:history="1">
        <w:r w:rsidRPr="00433768">
          <w:rPr>
            <w:rStyle w:val="Hyperlink"/>
          </w:rPr>
          <w:t>academic advisor </w:t>
        </w:r>
      </w:hyperlink>
      <w:r w:rsidRPr="00433768">
        <w:t>for processing If there are any issues with it, your advisor will respond accordingly. If you cannot find your advisor’s contact information, please email </w:t>
      </w:r>
      <w:hyperlink r:id="rId8" w:history="1">
        <w:r w:rsidRPr="00433768">
          <w:rPr>
            <w:rStyle w:val="Hyperlink"/>
          </w:rPr>
          <w:t>SPCEETadvising@kennesaw.edu</w:t>
        </w:r>
      </w:hyperlink>
      <w:r w:rsidRPr="00433768">
        <w:t> and let us know so we can get you assigned to an advisor. </w:t>
      </w:r>
    </w:p>
    <w:p w14:paraId="7B3A396C" w14:textId="77777777" w:rsidR="00433768" w:rsidRPr="00A87374" w:rsidRDefault="00433768" w:rsidP="001F3808"/>
    <w:sectPr w:rsidR="00433768" w:rsidRPr="00A87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67CB9"/>
    <w:multiLevelType w:val="hybridMultilevel"/>
    <w:tmpl w:val="24BE0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11531"/>
    <w:multiLevelType w:val="hybridMultilevel"/>
    <w:tmpl w:val="3C2E3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A1681"/>
    <w:multiLevelType w:val="multilevel"/>
    <w:tmpl w:val="1C20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AD25D0"/>
    <w:multiLevelType w:val="multilevel"/>
    <w:tmpl w:val="BE94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9D62C7"/>
    <w:multiLevelType w:val="multilevel"/>
    <w:tmpl w:val="94BC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18368B"/>
    <w:multiLevelType w:val="hybridMultilevel"/>
    <w:tmpl w:val="5964D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23279"/>
    <w:multiLevelType w:val="hybridMultilevel"/>
    <w:tmpl w:val="152E0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969345">
    <w:abstractNumId w:val="6"/>
  </w:num>
  <w:num w:numId="2" w16cid:durableId="708603155">
    <w:abstractNumId w:val="1"/>
  </w:num>
  <w:num w:numId="3" w16cid:durableId="1066803578">
    <w:abstractNumId w:val="5"/>
  </w:num>
  <w:num w:numId="4" w16cid:durableId="440761664">
    <w:abstractNumId w:val="4"/>
  </w:num>
  <w:num w:numId="5" w16cid:durableId="609896787">
    <w:abstractNumId w:val="0"/>
  </w:num>
  <w:num w:numId="6" w16cid:durableId="20667091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8748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3F"/>
    <w:rsid w:val="000C6FF8"/>
    <w:rsid w:val="001F3808"/>
    <w:rsid w:val="0021705A"/>
    <w:rsid w:val="0031208C"/>
    <w:rsid w:val="00433768"/>
    <w:rsid w:val="004403B1"/>
    <w:rsid w:val="005C29EB"/>
    <w:rsid w:val="00764544"/>
    <w:rsid w:val="00874462"/>
    <w:rsid w:val="008A1E60"/>
    <w:rsid w:val="00973FAA"/>
    <w:rsid w:val="009E0AC2"/>
    <w:rsid w:val="00A105CA"/>
    <w:rsid w:val="00A87374"/>
    <w:rsid w:val="00BA2D5C"/>
    <w:rsid w:val="00C13970"/>
    <w:rsid w:val="00C4386E"/>
    <w:rsid w:val="00C70B25"/>
    <w:rsid w:val="00E52E3F"/>
    <w:rsid w:val="00E913AE"/>
    <w:rsid w:val="00EA2605"/>
    <w:rsid w:val="00F23BFF"/>
    <w:rsid w:val="00FC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B958D9"/>
  <w15:chartTrackingRefBased/>
  <w15:docId w15:val="{F07B7432-E76B-4A64-B7B0-20D0BFC9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E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37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CEETadvising@kennesaw.edu?subject=Enginee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gineering.kennesaw.edu/undergrad-advising/undergrad-advising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CEETadvising@kennesaw.edu" TargetMode="External"/><Relationship Id="rId5" Type="http://schemas.openxmlformats.org/officeDocument/2006/relationships/hyperlink" Target="https://www.kennesaw.edu/spceet/advising/index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Marwan Al-haik</dc:creator>
  <cp:keywords/>
  <dc:description/>
  <cp:lastModifiedBy>Tara Rose</cp:lastModifiedBy>
  <cp:revision>2</cp:revision>
  <dcterms:created xsi:type="dcterms:W3CDTF">2025-06-24T18:15:00Z</dcterms:created>
  <dcterms:modified xsi:type="dcterms:W3CDTF">2025-06-24T18:15:00Z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c1f34b26-00e7-480e-89db-2058225b0133</vt:lpwstr>
  </property>
</Properties>
</file>